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EA94B" w14:textId="55236D21" w:rsidR="0092623A" w:rsidRPr="005523F0" w:rsidRDefault="00CE62A2" w:rsidP="00276BDB">
      <w:pPr>
        <w:spacing w:before="240" w:after="0" w:line="259" w:lineRule="auto"/>
        <w:rPr>
          <w:rFonts w:ascii="Arial" w:hAnsi="Arial" w:cs="Arial"/>
          <w:b/>
          <w:sz w:val="36"/>
          <w:szCs w:val="36"/>
          <w:lang w:eastAsia="de-DE"/>
        </w:rPr>
      </w:pPr>
      <w:bookmarkStart w:id="0" w:name="_Hlk75246143"/>
      <w:r w:rsidRPr="005523F0">
        <w:rPr>
          <w:rFonts w:ascii="Arial" w:hAnsi="Arial" w:cs="Arial"/>
          <w:b/>
          <w:sz w:val="36"/>
          <w:szCs w:val="36"/>
          <w:lang w:eastAsia="de-DE"/>
        </w:rPr>
        <w:t xml:space="preserve">Transition to </w:t>
      </w:r>
      <w:r w:rsidR="00534889">
        <w:rPr>
          <w:rFonts w:ascii="Arial" w:hAnsi="Arial" w:cs="Arial"/>
          <w:b/>
          <w:sz w:val="36"/>
          <w:szCs w:val="36"/>
          <w:lang w:eastAsia="de-DE"/>
        </w:rPr>
        <w:t>W</w:t>
      </w:r>
      <w:r w:rsidRPr="005523F0">
        <w:rPr>
          <w:rFonts w:ascii="Arial" w:hAnsi="Arial" w:cs="Arial"/>
          <w:b/>
          <w:sz w:val="36"/>
          <w:szCs w:val="36"/>
          <w:lang w:eastAsia="de-DE"/>
        </w:rPr>
        <w:t xml:space="preserve">ork and young people with disability </w:t>
      </w:r>
    </w:p>
    <w:p w14:paraId="7A11CDF7" w14:textId="77777777" w:rsidR="00C16D83" w:rsidRDefault="00C16D83" w:rsidP="00C16D83">
      <w:pPr>
        <w:pStyle w:val="Default"/>
      </w:pPr>
    </w:p>
    <w:p w14:paraId="1F066A40" w14:textId="77777777" w:rsidR="006B1D67" w:rsidRPr="006B1D67" w:rsidRDefault="006B1D67" w:rsidP="006B1D67">
      <w:pPr>
        <w:spacing w:before="240" w:after="0" w:line="259" w:lineRule="auto"/>
        <w:rPr>
          <w:rFonts w:ascii="Arial" w:hAnsi="Arial" w:cs="Arial"/>
          <w:b/>
          <w:sz w:val="24"/>
          <w:lang w:eastAsia="de-DE"/>
        </w:rPr>
      </w:pPr>
      <w:r>
        <w:rPr>
          <w:rFonts w:ascii="Arial" w:hAnsi="Arial" w:cs="Arial"/>
          <w:b/>
          <w:sz w:val="24"/>
          <w:lang w:eastAsia="de-DE"/>
        </w:rPr>
        <w:t>The Key Recommendation</w:t>
      </w:r>
    </w:p>
    <w:p w14:paraId="5426D052" w14:textId="7B163928" w:rsidR="006B1D67" w:rsidRDefault="006B1D67" w:rsidP="006B1D67">
      <w:pPr>
        <w:spacing w:before="240" w:after="0" w:line="259" w:lineRule="auto"/>
        <w:rPr>
          <w:rFonts w:ascii="Arial" w:hAnsi="Arial" w:cs="Arial"/>
          <w:sz w:val="24"/>
        </w:rPr>
      </w:pPr>
      <w:r>
        <w:rPr>
          <w:rFonts w:ascii="Arial" w:hAnsi="Arial" w:cs="Arial"/>
          <w:sz w:val="24"/>
        </w:rPr>
        <w:t xml:space="preserve">Australia needs </w:t>
      </w:r>
      <w:r w:rsidRPr="00AD7557">
        <w:rPr>
          <w:rFonts w:ascii="Arial" w:hAnsi="Arial" w:cs="Arial"/>
          <w:sz w:val="24"/>
        </w:rPr>
        <w:t>a youth specific</w:t>
      </w:r>
      <w:r>
        <w:rPr>
          <w:rFonts w:ascii="Arial" w:hAnsi="Arial" w:cs="Arial"/>
          <w:sz w:val="24"/>
        </w:rPr>
        <w:t>,</w:t>
      </w:r>
      <w:r w:rsidRPr="00AD7557">
        <w:rPr>
          <w:rFonts w:ascii="Arial" w:hAnsi="Arial" w:cs="Arial"/>
          <w:sz w:val="24"/>
        </w:rPr>
        <w:t xml:space="preserve"> evidence-based employment support </w:t>
      </w:r>
      <w:r>
        <w:rPr>
          <w:rFonts w:ascii="Arial" w:hAnsi="Arial" w:cs="Arial"/>
          <w:sz w:val="24"/>
        </w:rPr>
        <w:t xml:space="preserve">program </w:t>
      </w:r>
      <w:r w:rsidRPr="00AD7557">
        <w:rPr>
          <w:rFonts w:ascii="Arial" w:hAnsi="Arial" w:cs="Arial"/>
          <w:sz w:val="24"/>
        </w:rPr>
        <w:t xml:space="preserve">to assist </w:t>
      </w:r>
      <w:r>
        <w:rPr>
          <w:rFonts w:ascii="Arial" w:hAnsi="Arial" w:cs="Arial"/>
          <w:sz w:val="24"/>
        </w:rPr>
        <w:t xml:space="preserve">young people with disability </w:t>
      </w:r>
      <w:r w:rsidRPr="00AD7557">
        <w:rPr>
          <w:rFonts w:ascii="Arial" w:hAnsi="Arial" w:cs="Arial"/>
          <w:sz w:val="24"/>
        </w:rPr>
        <w:t>transition from school</w:t>
      </w:r>
      <w:r>
        <w:rPr>
          <w:rFonts w:ascii="Arial" w:hAnsi="Arial" w:cs="Arial"/>
          <w:sz w:val="24"/>
        </w:rPr>
        <w:t xml:space="preserve"> to </w:t>
      </w:r>
      <w:r w:rsidRPr="00AD7557">
        <w:rPr>
          <w:rFonts w:ascii="Arial" w:hAnsi="Arial" w:cs="Arial"/>
          <w:sz w:val="24"/>
        </w:rPr>
        <w:t xml:space="preserve">further education and training and ultimately </w:t>
      </w:r>
      <w:r>
        <w:rPr>
          <w:rFonts w:ascii="Arial" w:hAnsi="Arial" w:cs="Arial"/>
          <w:sz w:val="24"/>
        </w:rPr>
        <w:t xml:space="preserve">into </w:t>
      </w:r>
      <w:r w:rsidRPr="00AD7557">
        <w:rPr>
          <w:rFonts w:ascii="Arial" w:hAnsi="Arial" w:cs="Arial"/>
          <w:sz w:val="24"/>
        </w:rPr>
        <w:t xml:space="preserve">work.  </w:t>
      </w:r>
    </w:p>
    <w:p w14:paraId="7012C708" w14:textId="5AFBB027" w:rsidR="006B1D67" w:rsidRDefault="006B1D67" w:rsidP="006B1D67">
      <w:pPr>
        <w:spacing w:before="240" w:after="0" w:line="259" w:lineRule="auto"/>
        <w:rPr>
          <w:rFonts w:ascii="Arial" w:hAnsi="Arial" w:cs="Arial"/>
          <w:b/>
          <w:sz w:val="24"/>
          <w:lang w:eastAsia="de-DE"/>
        </w:rPr>
      </w:pPr>
      <w:r>
        <w:rPr>
          <w:rFonts w:ascii="Arial" w:hAnsi="Arial" w:cs="Arial"/>
          <w:sz w:val="24"/>
        </w:rPr>
        <w:t xml:space="preserve">This support needs to be adequately resourced and staffed by professionals with an understanding of </w:t>
      </w:r>
      <w:r w:rsidR="000906A2">
        <w:rPr>
          <w:rFonts w:ascii="Arial" w:hAnsi="Arial" w:cs="Arial"/>
          <w:sz w:val="24"/>
        </w:rPr>
        <w:t xml:space="preserve">the </w:t>
      </w:r>
      <w:r>
        <w:rPr>
          <w:rFonts w:ascii="Arial" w:hAnsi="Arial" w:cs="Arial"/>
          <w:sz w:val="24"/>
        </w:rPr>
        <w:t>needs of young people with disability.</w:t>
      </w:r>
    </w:p>
    <w:p w14:paraId="73A1BE17" w14:textId="704CDA4C" w:rsidR="006B1D67" w:rsidRDefault="006B1D67" w:rsidP="00276BDB">
      <w:pPr>
        <w:spacing w:before="240" w:after="0" w:line="259" w:lineRule="auto"/>
        <w:rPr>
          <w:rFonts w:ascii="Arial" w:hAnsi="Arial" w:cs="Arial"/>
          <w:bCs/>
          <w:sz w:val="24"/>
          <w:lang w:eastAsia="de-DE"/>
        </w:rPr>
      </w:pPr>
      <w:r>
        <w:rPr>
          <w:rFonts w:ascii="Arial" w:hAnsi="Arial" w:cs="Arial"/>
          <w:bCs/>
          <w:sz w:val="24"/>
          <w:lang w:eastAsia="de-DE"/>
        </w:rPr>
        <w:t xml:space="preserve">Transition </w:t>
      </w:r>
      <w:r w:rsidR="00FC0318">
        <w:rPr>
          <w:rFonts w:ascii="Arial" w:hAnsi="Arial" w:cs="Arial"/>
          <w:bCs/>
          <w:sz w:val="24"/>
          <w:lang w:eastAsia="de-DE"/>
        </w:rPr>
        <w:t>T</w:t>
      </w:r>
      <w:r>
        <w:rPr>
          <w:rFonts w:ascii="Arial" w:hAnsi="Arial" w:cs="Arial"/>
          <w:bCs/>
          <w:sz w:val="24"/>
          <w:lang w:eastAsia="de-DE"/>
        </w:rPr>
        <w:t xml:space="preserve">o </w:t>
      </w:r>
      <w:r w:rsidR="00FC0318">
        <w:rPr>
          <w:rFonts w:ascii="Arial" w:hAnsi="Arial" w:cs="Arial"/>
          <w:bCs/>
          <w:sz w:val="24"/>
          <w:lang w:eastAsia="de-DE"/>
        </w:rPr>
        <w:t>W</w:t>
      </w:r>
      <w:r>
        <w:rPr>
          <w:rFonts w:ascii="Arial" w:hAnsi="Arial" w:cs="Arial"/>
          <w:bCs/>
          <w:sz w:val="24"/>
          <w:lang w:eastAsia="de-DE"/>
        </w:rPr>
        <w:t xml:space="preserve">ork should be enhanced as a primary vehicle for such support.  </w:t>
      </w:r>
    </w:p>
    <w:p w14:paraId="7D78B890" w14:textId="1EEF5650" w:rsidR="006B1D67" w:rsidRPr="004D2405" w:rsidRDefault="006B1D67" w:rsidP="00276BDB">
      <w:pPr>
        <w:spacing w:before="240" w:after="0" w:line="259" w:lineRule="auto"/>
        <w:rPr>
          <w:rFonts w:ascii="Arial" w:hAnsi="Arial" w:cs="Arial"/>
          <w:bCs/>
          <w:sz w:val="24"/>
          <w:lang w:eastAsia="de-DE"/>
        </w:rPr>
      </w:pPr>
      <w:r>
        <w:rPr>
          <w:rFonts w:ascii="Arial" w:hAnsi="Arial" w:cs="Arial"/>
          <w:bCs/>
          <w:sz w:val="24"/>
          <w:lang w:eastAsia="de-DE"/>
        </w:rPr>
        <w:t xml:space="preserve">This submission provides background to the current situation </w:t>
      </w:r>
      <w:r w:rsidR="00083FDC">
        <w:rPr>
          <w:rFonts w:ascii="Arial" w:hAnsi="Arial" w:cs="Arial"/>
          <w:bCs/>
          <w:sz w:val="24"/>
          <w:lang w:eastAsia="de-DE"/>
        </w:rPr>
        <w:t>that</w:t>
      </w:r>
      <w:r>
        <w:rPr>
          <w:rFonts w:ascii="Arial" w:hAnsi="Arial" w:cs="Arial"/>
          <w:bCs/>
          <w:sz w:val="24"/>
          <w:lang w:eastAsia="de-DE"/>
        </w:rPr>
        <w:t xml:space="preserve"> young people with disability find themselves</w:t>
      </w:r>
      <w:r w:rsidR="00083FDC">
        <w:rPr>
          <w:rFonts w:ascii="Arial" w:hAnsi="Arial" w:cs="Arial"/>
          <w:bCs/>
          <w:sz w:val="24"/>
          <w:lang w:eastAsia="de-DE"/>
        </w:rPr>
        <w:t xml:space="preserve"> in</w:t>
      </w:r>
      <w:r w:rsidR="005E2DCE">
        <w:rPr>
          <w:rFonts w:ascii="Arial" w:hAnsi="Arial" w:cs="Arial"/>
          <w:bCs/>
          <w:sz w:val="24"/>
          <w:lang w:eastAsia="de-DE"/>
        </w:rPr>
        <w:t xml:space="preserve">. It also provides </w:t>
      </w:r>
      <w:r>
        <w:rPr>
          <w:rFonts w:ascii="Arial" w:hAnsi="Arial" w:cs="Arial"/>
          <w:bCs/>
          <w:sz w:val="24"/>
          <w:lang w:eastAsia="de-DE"/>
        </w:rPr>
        <w:t>guidance on the way forward</w:t>
      </w:r>
      <w:r w:rsidR="005E2DCE">
        <w:rPr>
          <w:rFonts w:ascii="Arial" w:hAnsi="Arial" w:cs="Arial"/>
          <w:bCs/>
          <w:sz w:val="24"/>
          <w:lang w:eastAsia="de-DE"/>
        </w:rPr>
        <w:t>,</w:t>
      </w:r>
      <w:r>
        <w:rPr>
          <w:rFonts w:ascii="Arial" w:hAnsi="Arial" w:cs="Arial"/>
          <w:bCs/>
          <w:sz w:val="24"/>
          <w:lang w:eastAsia="de-DE"/>
        </w:rPr>
        <w:t xml:space="preserve"> drawing on our experience and the relevant research.</w:t>
      </w:r>
    </w:p>
    <w:p w14:paraId="515263A0" w14:textId="3C3C62A9" w:rsidR="005929A0" w:rsidRDefault="00534889" w:rsidP="00276BDB">
      <w:pPr>
        <w:spacing w:before="240" w:after="0" w:line="259" w:lineRule="auto"/>
        <w:rPr>
          <w:rFonts w:ascii="Arial" w:hAnsi="Arial" w:cs="Arial"/>
          <w:b/>
          <w:sz w:val="24"/>
          <w:lang w:eastAsia="de-DE"/>
        </w:rPr>
      </w:pPr>
      <w:r>
        <w:rPr>
          <w:rFonts w:ascii="Arial" w:hAnsi="Arial" w:cs="Arial"/>
          <w:b/>
          <w:sz w:val="24"/>
          <w:lang w:eastAsia="de-DE"/>
        </w:rPr>
        <w:t>Background</w:t>
      </w:r>
    </w:p>
    <w:p w14:paraId="340F7CFA" w14:textId="2C41C955" w:rsidR="005B38DC" w:rsidRPr="00130150" w:rsidRDefault="00486D85" w:rsidP="00276BDB">
      <w:pPr>
        <w:spacing w:before="240" w:after="0" w:line="259" w:lineRule="auto"/>
        <w:rPr>
          <w:rFonts w:ascii="Arial" w:hAnsi="Arial" w:cs="Arial"/>
          <w:color w:val="343434"/>
          <w:sz w:val="24"/>
          <w:shd w:val="clear" w:color="auto" w:fill="FFFFFF"/>
        </w:rPr>
      </w:pPr>
      <w:r w:rsidRPr="00130150">
        <w:rPr>
          <w:rFonts w:ascii="Arial" w:hAnsi="Arial" w:cs="Arial"/>
          <w:sz w:val="24"/>
        </w:rPr>
        <w:t>Disability has been a persistent marker of disadvantag</w:t>
      </w:r>
      <w:r w:rsidR="00632413">
        <w:rPr>
          <w:rFonts w:ascii="Arial" w:hAnsi="Arial" w:cs="Arial"/>
          <w:sz w:val="24"/>
        </w:rPr>
        <w:t>e</w:t>
      </w:r>
      <w:r w:rsidR="003F0399">
        <w:rPr>
          <w:rFonts w:ascii="Arial" w:hAnsi="Arial" w:cs="Arial"/>
          <w:sz w:val="24"/>
        </w:rPr>
        <w:t>,</w:t>
      </w:r>
      <w:r w:rsidR="00632413">
        <w:rPr>
          <w:rFonts w:ascii="Arial" w:hAnsi="Arial" w:cs="Arial"/>
          <w:sz w:val="24"/>
        </w:rPr>
        <w:t xml:space="preserve"> one clear consequence of which is </w:t>
      </w:r>
      <w:r w:rsidRPr="00130150">
        <w:rPr>
          <w:rFonts w:ascii="Arial" w:hAnsi="Arial" w:cs="Arial"/>
          <w:sz w:val="24"/>
        </w:rPr>
        <w:t>limited employment opportunities.</w:t>
      </w:r>
      <w:r w:rsidR="00B40B37" w:rsidRPr="00130150">
        <w:rPr>
          <w:rFonts w:ascii="Arial" w:hAnsi="Arial" w:cs="Arial"/>
          <w:sz w:val="24"/>
        </w:rPr>
        <w:t xml:space="preserve"> </w:t>
      </w:r>
    </w:p>
    <w:p w14:paraId="051D2122" w14:textId="31E76D66" w:rsidR="00EF377E" w:rsidRPr="00130150" w:rsidRDefault="00EF377E" w:rsidP="00EF377E">
      <w:pPr>
        <w:spacing w:before="240" w:after="0" w:line="259" w:lineRule="auto"/>
        <w:rPr>
          <w:rFonts w:ascii="Arial" w:hAnsi="Arial" w:cs="Arial"/>
          <w:sz w:val="24"/>
        </w:rPr>
      </w:pPr>
      <w:r w:rsidRPr="00820E6E">
        <w:rPr>
          <w:rFonts w:ascii="Arial" w:hAnsi="Arial" w:cs="Arial"/>
          <w:sz w:val="24"/>
        </w:rPr>
        <w:t xml:space="preserve">Australia has one of the lowest employment participation rates of people with disability in the OECD (OECD, 2010) </w:t>
      </w:r>
      <w:r w:rsidRPr="00820E6E">
        <w:rPr>
          <w:rFonts w:ascii="Arial" w:hAnsi="Arial" w:cs="Arial"/>
          <w:color w:val="000000"/>
          <w:spacing w:val="0"/>
          <w:sz w:val="24"/>
        </w:rPr>
        <w:t xml:space="preserve">and </w:t>
      </w:r>
      <w:r w:rsidRPr="00820E6E">
        <w:rPr>
          <w:rFonts w:ascii="Arial" w:hAnsi="Arial" w:cs="Arial"/>
          <w:color w:val="222222"/>
          <w:sz w:val="24"/>
          <w:shd w:val="clear" w:color="auto" w:fill="FFFFFF"/>
        </w:rPr>
        <w:t xml:space="preserve">Australia is ranked 27th out of 27 OECD countries when it comes to relative poverty risk for people with a disability. </w:t>
      </w:r>
      <w:r w:rsidRPr="00820E6E">
        <w:rPr>
          <w:rFonts w:ascii="Arial" w:hAnsi="Arial" w:cs="Arial"/>
          <w:sz w:val="24"/>
        </w:rPr>
        <w:t>Statistics suggest an overall general lack of employment opportunities for people with disability, (Australian Bureau of Statistics 2011)</w:t>
      </w:r>
      <w:r>
        <w:rPr>
          <w:rFonts w:ascii="Arial" w:hAnsi="Arial" w:cs="Arial"/>
          <w:sz w:val="24"/>
        </w:rPr>
        <w:t>.</w:t>
      </w:r>
    </w:p>
    <w:p w14:paraId="3A5E9BED" w14:textId="0F64EFB4" w:rsidR="00EF377E" w:rsidRPr="00820E6E" w:rsidRDefault="00EF377E" w:rsidP="00EF377E">
      <w:pPr>
        <w:spacing w:before="240" w:after="0" w:line="259" w:lineRule="auto"/>
        <w:rPr>
          <w:rFonts w:ascii="Arial" w:hAnsi="Arial" w:cs="Arial"/>
          <w:color w:val="000000"/>
          <w:spacing w:val="0"/>
          <w:sz w:val="24"/>
        </w:rPr>
      </w:pPr>
      <w:r w:rsidRPr="005B38DC">
        <w:rPr>
          <w:rFonts w:ascii="Arial" w:hAnsi="Arial" w:cs="Arial"/>
          <w:color w:val="000000"/>
          <w:spacing w:val="0"/>
          <w:sz w:val="24"/>
        </w:rPr>
        <w:t>Australia compares poorly on the international stage when it comes to preparing our young people with disability to successfully transition into a life beyond school. Many of our young people, who could become active members of the Australian workforce, are dissuaded from doing so because of low employment expectations</w:t>
      </w:r>
      <w:r>
        <w:rPr>
          <w:rFonts w:ascii="Arial" w:hAnsi="Arial" w:cs="Arial"/>
          <w:color w:val="000000"/>
          <w:spacing w:val="0"/>
          <w:sz w:val="24"/>
        </w:rPr>
        <w:t>, the</w:t>
      </w:r>
      <w:r w:rsidRPr="005B38DC">
        <w:rPr>
          <w:rFonts w:ascii="Arial" w:hAnsi="Arial" w:cs="Arial"/>
          <w:color w:val="000000"/>
          <w:spacing w:val="0"/>
          <w:sz w:val="24"/>
        </w:rPr>
        <w:t xml:space="preserve"> </w:t>
      </w:r>
      <w:r w:rsidRPr="00820E6E">
        <w:rPr>
          <w:rFonts w:ascii="Arial" w:hAnsi="Arial" w:cs="Arial"/>
          <w:color w:val="000000"/>
          <w:spacing w:val="0"/>
          <w:sz w:val="24"/>
        </w:rPr>
        <w:t>lack of coordination and effective supports</w:t>
      </w:r>
      <w:r>
        <w:rPr>
          <w:rFonts w:ascii="Arial" w:hAnsi="Arial" w:cs="Arial"/>
          <w:color w:val="000000"/>
          <w:spacing w:val="0"/>
          <w:sz w:val="24"/>
        </w:rPr>
        <w:t>,</w:t>
      </w:r>
      <w:r w:rsidRPr="00820E6E">
        <w:rPr>
          <w:rFonts w:ascii="Arial" w:hAnsi="Arial" w:cs="Arial"/>
          <w:color w:val="000000"/>
          <w:spacing w:val="0"/>
          <w:sz w:val="24"/>
        </w:rPr>
        <w:t xml:space="preserve"> and </w:t>
      </w:r>
      <w:r w:rsidRPr="005B38DC">
        <w:rPr>
          <w:rFonts w:ascii="Arial" w:hAnsi="Arial" w:cs="Arial"/>
          <w:color w:val="000000"/>
          <w:spacing w:val="0"/>
          <w:sz w:val="24"/>
        </w:rPr>
        <w:t>limited or no exposure to employment experience or career development during the schooling years.</w:t>
      </w:r>
      <w:r w:rsidRPr="00820E6E">
        <w:rPr>
          <w:rFonts w:ascii="Arial" w:hAnsi="Arial" w:cs="Arial"/>
          <w:color w:val="000000"/>
          <w:spacing w:val="0"/>
          <w:sz w:val="24"/>
        </w:rPr>
        <w:t xml:space="preserve"> </w:t>
      </w:r>
    </w:p>
    <w:p w14:paraId="7CD9B2C0" w14:textId="1EBD6EE1" w:rsidR="00EF377E" w:rsidRPr="00130150" w:rsidRDefault="00EF377E" w:rsidP="00EF377E">
      <w:pPr>
        <w:spacing w:before="240" w:after="0" w:line="259" w:lineRule="auto"/>
        <w:rPr>
          <w:rFonts w:ascii="Arial" w:hAnsi="Arial" w:cs="Arial"/>
          <w:sz w:val="24"/>
        </w:rPr>
      </w:pPr>
      <w:r w:rsidRPr="00130150">
        <w:rPr>
          <w:rFonts w:ascii="Arial" w:hAnsi="Arial" w:cs="Arial"/>
          <w:sz w:val="24"/>
        </w:rPr>
        <w:t>Unfortunately, the situation for young people with disability was getting worse in an era of uninterrupted growth</w:t>
      </w:r>
      <w:r>
        <w:rPr>
          <w:rFonts w:ascii="Arial" w:hAnsi="Arial" w:cs="Arial"/>
          <w:sz w:val="24"/>
        </w:rPr>
        <w:t>.</w:t>
      </w:r>
      <w:r w:rsidRPr="00130150">
        <w:rPr>
          <w:rFonts w:ascii="Arial" w:hAnsi="Arial" w:cs="Arial"/>
          <w:sz w:val="24"/>
        </w:rPr>
        <w:t xml:space="preserve"> T</w:t>
      </w:r>
      <w:r w:rsidRPr="00130150">
        <w:rPr>
          <w:rFonts w:ascii="Arial" w:eastAsiaTheme="minorHAnsi" w:hAnsi="Arial" w:cs="Arial"/>
          <w:color w:val="auto"/>
          <w:spacing w:val="0"/>
          <w:sz w:val="24"/>
          <w:lang w:eastAsia="en-US"/>
        </w:rPr>
        <w:t xml:space="preserve">he gap in terms of economic inclusion and employment participation between young people with disability and those without disability has </w:t>
      </w:r>
      <w:r w:rsidRPr="00130150">
        <w:rPr>
          <w:rFonts w:ascii="Arial" w:eastAsiaTheme="minorHAnsi" w:hAnsi="Arial" w:cs="Arial"/>
          <w:color w:val="auto"/>
          <w:spacing w:val="0"/>
          <w:sz w:val="24"/>
          <w:lang w:eastAsia="en-US"/>
        </w:rPr>
        <w:lastRenderedPageBreak/>
        <w:t xml:space="preserve">widened over the last 20 years </w:t>
      </w:r>
      <w:r w:rsidRPr="00130150">
        <w:rPr>
          <w:rFonts w:ascii="Arial" w:eastAsiaTheme="minorHAnsi" w:hAnsi="Arial" w:cs="Arial"/>
          <w:color w:val="auto"/>
          <w:spacing w:val="0"/>
          <w:sz w:val="24"/>
          <w:lang w:eastAsia="en-US"/>
        </w:rPr>
        <w:fldChar w:fldCharType="begin"/>
      </w:r>
      <w:r w:rsidRPr="00130150">
        <w:rPr>
          <w:rFonts w:ascii="Arial" w:eastAsiaTheme="minorHAnsi" w:hAnsi="Arial" w:cs="Arial"/>
          <w:color w:val="auto"/>
          <w:spacing w:val="0"/>
          <w:sz w:val="24"/>
          <w:lang w:eastAsia="en-US"/>
        </w:rPr>
        <w:instrText xml:space="preserve"> ADDIN EN.CITE &lt;EndNote&gt;&lt;Cite&gt;&lt;Author&gt;Emerson&lt;/Author&gt;&lt;Year&gt;2014&lt;/Year&gt;&lt;RecNum&gt;34&lt;/RecNum&gt;&lt;DisplayText&gt;(Emerson &amp;amp; Llewellyn, 2014)&lt;/DisplayText&gt;&lt;record&gt;&lt;rec-number&gt;34&lt;/rec-number&gt;&lt;foreign-keys&gt;&lt;key app="EN" db-id="stx5satavvxdvveepsx59affx9z95f5v2rzw" timestamp="1562122635"&gt;34&lt;/key&gt;&lt;/foreign-keys&gt;&lt;ref-type name="Report"&gt;27&lt;/ref-type&gt;&lt;contributors&gt;&lt;authors&gt;&lt;author&gt;Emerson, Eric&lt;/author&gt;&lt;author&gt;Llewellyn, Gwynnyth&lt;/author&gt;&lt;/authors&gt;&lt;/contributors&gt;&lt;titles&gt;&lt;title&gt;Left Behind 2014: Monitoring the Social Inclusion of Young Australians with Self Reported Long Term Health Conditions, Impairments or Disabilities 2001-2012&lt;/title&gt;&lt;/titles&gt;&lt;dates&gt;&lt;year&gt;2014&lt;/year&gt;&lt;/dates&gt;&lt;publisher&gt;Faculty of Health Sciences, The University of Sydney&lt;/publisher&gt;&lt;isbn&gt;2203-7381&lt;/isbn&gt;&lt;urls&gt;&lt;/urls&gt;&lt;/record&gt;&lt;/Cite&gt;&lt;/EndNote&gt;</w:instrText>
      </w:r>
      <w:r w:rsidRPr="00130150">
        <w:rPr>
          <w:rFonts w:ascii="Arial" w:eastAsiaTheme="minorHAnsi" w:hAnsi="Arial" w:cs="Arial"/>
          <w:color w:val="auto"/>
          <w:spacing w:val="0"/>
          <w:sz w:val="24"/>
          <w:lang w:eastAsia="en-US"/>
        </w:rPr>
        <w:fldChar w:fldCharType="separate"/>
      </w:r>
      <w:r w:rsidRPr="00130150">
        <w:rPr>
          <w:rFonts w:ascii="Arial" w:eastAsiaTheme="minorHAnsi" w:hAnsi="Arial" w:cs="Arial"/>
          <w:noProof/>
          <w:color w:val="auto"/>
          <w:spacing w:val="0"/>
          <w:sz w:val="24"/>
          <w:lang w:eastAsia="en-US"/>
        </w:rPr>
        <w:t xml:space="preserve">(Emerson &amp; Llewellyn, 2014 </w:t>
      </w:r>
      <w:r w:rsidRPr="00130150">
        <w:rPr>
          <w:rFonts w:ascii="Arial" w:hAnsi="Arial" w:cs="Arial"/>
          <w:sz w:val="24"/>
        </w:rPr>
        <w:t>Fortune, N., Llewellyn, G., Stancliffe,R. Badland, H., Emerson, E. 2021</w:t>
      </w:r>
      <w:r w:rsidRPr="00130150">
        <w:rPr>
          <w:rFonts w:ascii="Arial" w:eastAsiaTheme="minorHAnsi" w:hAnsi="Arial" w:cs="Arial"/>
          <w:noProof/>
          <w:color w:val="auto"/>
          <w:spacing w:val="0"/>
          <w:sz w:val="24"/>
          <w:lang w:eastAsia="en-US"/>
        </w:rPr>
        <w:t>)</w:t>
      </w:r>
      <w:r w:rsidRPr="00130150">
        <w:rPr>
          <w:rFonts w:ascii="Arial" w:eastAsiaTheme="minorHAnsi" w:hAnsi="Arial" w:cs="Arial"/>
          <w:color w:val="auto"/>
          <w:spacing w:val="0"/>
          <w:sz w:val="24"/>
          <w:lang w:eastAsia="en-US"/>
        </w:rPr>
        <w:fldChar w:fldCharType="end"/>
      </w:r>
      <w:r>
        <w:rPr>
          <w:rFonts w:ascii="Arial" w:eastAsiaTheme="minorHAnsi" w:hAnsi="Arial" w:cs="Arial"/>
          <w:color w:val="auto"/>
          <w:spacing w:val="0"/>
          <w:sz w:val="24"/>
          <w:lang w:eastAsia="en-US"/>
        </w:rPr>
        <w:t>.</w:t>
      </w:r>
      <w:r w:rsidRPr="00130150">
        <w:rPr>
          <w:rStyle w:val="FootnoteReference"/>
          <w:rFonts w:ascii="Arial" w:eastAsiaTheme="minorHAnsi" w:hAnsi="Arial" w:cs="Arial"/>
          <w:color w:val="auto"/>
          <w:spacing w:val="0"/>
          <w:sz w:val="24"/>
          <w:lang w:eastAsia="en-US"/>
        </w:rPr>
        <w:footnoteReference w:id="1"/>
      </w:r>
      <w:r w:rsidRPr="00130150">
        <w:rPr>
          <w:rFonts w:ascii="Arial" w:eastAsiaTheme="minorHAnsi" w:hAnsi="Arial" w:cs="Arial"/>
          <w:color w:val="auto"/>
          <w:spacing w:val="0"/>
          <w:sz w:val="24"/>
          <w:lang w:eastAsia="en-US"/>
        </w:rPr>
        <w:t xml:space="preserve"> </w:t>
      </w:r>
      <w:r w:rsidRPr="00130150">
        <w:rPr>
          <w:rStyle w:val="FootnoteReference"/>
          <w:rFonts w:ascii="Arial" w:eastAsiaTheme="minorHAnsi" w:hAnsi="Arial" w:cs="Arial"/>
          <w:color w:val="auto"/>
          <w:spacing w:val="0"/>
          <w:sz w:val="24"/>
          <w:lang w:eastAsia="en-US"/>
        </w:rPr>
        <w:footnoteReference w:id="2"/>
      </w:r>
      <w:r w:rsidRPr="00130150">
        <w:rPr>
          <w:rFonts w:ascii="Arial" w:eastAsiaTheme="minorHAnsi" w:hAnsi="Arial" w:cs="Arial"/>
          <w:color w:val="auto"/>
          <w:spacing w:val="0"/>
          <w:sz w:val="24"/>
          <w:lang w:eastAsia="en-US"/>
        </w:rPr>
        <w:t xml:space="preserve">  </w:t>
      </w:r>
    </w:p>
    <w:p w14:paraId="78ED157F" w14:textId="64536EB3" w:rsidR="00EF377E" w:rsidRPr="00A03772" w:rsidRDefault="00EF377E" w:rsidP="008261CA">
      <w:pPr>
        <w:spacing w:before="240" w:after="0" w:line="259" w:lineRule="auto"/>
        <w:rPr>
          <w:rFonts w:ascii="Arial" w:hAnsi="Arial" w:cs="Arial"/>
          <w:sz w:val="24"/>
        </w:rPr>
      </w:pPr>
      <w:r>
        <w:rPr>
          <w:rFonts w:ascii="Arial" w:hAnsi="Arial" w:cs="Arial"/>
          <w:sz w:val="24"/>
        </w:rPr>
        <w:t xml:space="preserve">The situation is expected to deteriorate even further in the wake </w:t>
      </w:r>
      <w:r w:rsidRPr="00130150">
        <w:rPr>
          <w:rFonts w:ascii="Arial" w:hAnsi="Arial" w:cs="Arial"/>
          <w:sz w:val="24"/>
        </w:rPr>
        <w:t>of the COVID-19 crisis, without</w:t>
      </w:r>
      <w:r>
        <w:rPr>
          <w:rFonts w:ascii="Arial" w:hAnsi="Arial" w:cs="Arial"/>
          <w:sz w:val="24"/>
        </w:rPr>
        <w:t xml:space="preserve"> effective</w:t>
      </w:r>
      <w:r w:rsidRPr="00130150">
        <w:rPr>
          <w:rFonts w:ascii="Arial" w:hAnsi="Arial" w:cs="Arial"/>
          <w:sz w:val="24"/>
        </w:rPr>
        <w:t xml:space="preserve"> intervention. </w:t>
      </w:r>
    </w:p>
    <w:p w14:paraId="5176B92D" w14:textId="165CBE72" w:rsidR="00E3704A" w:rsidRPr="00130150" w:rsidRDefault="00EF377E" w:rsidP="008261CA">
      <w:pPr>
        <w:spacing w:before="240" w:after="0" w:line="259" w:lineRule="auto"/>
        <w:rPr>
          <w:rFonts w:ascii="Arial" w:hAnsi="Arial" w:cs="Arial"/>
          <w:color w:val="000000"/>
          <w:spacing w:val="0"/>
          <w:sz w:val="24"/>
        </w:rPr>
      </w:pPr>
      <w:r>
        <w:rPr>
          <w:rFonts w:ascii="Arial" w:hAnsi="Arial" w:cs="Arial"/>
          <w:color w:val="000000"/>
          <w:spacing w:val="0"/>
          <w:sz w:val="24"/>
        </w:rPr>
        <w:t>Y</w:t>
      </w:r>
      <w:r w:rsidR="005B38DC" w:rsidRPr="005B38DC">
        <w:rPr>
          <w:rFonts w:ascii="Arial" w:hAnsi="Arial" w:cs="Arial"/>
          <w:color w:val="000000"/>
          <w:spacing w:val="0"/>
          <w:sz w:val="24"/>
        </w:rPr>
        <w:t>oung</w:t>
      </w:r>
      <w:r>
        <w:rPr>
          <w:rFonts w:ascii="Arial" w:hAnsi="Arial" w:cs="Arial"/>
          <w:color w:val="000000"/>
          <w:spacing w:val="0"/>
          <w:sz w:val="24"/>
        </w:rPr>
        <w:t xml:space="preserve"> Australians</w:t>
      </w:r>
      <w:r w:rsidR="005B38DC" w:rsidRPr="005B38DC">
        <w:rPr>
          <w:rFonts w:ascii="Arial" w:hAnsi="Arial" w:cs="Arial"/>
          <w:color w:val="000000"/>
          <w:spacing w:val="0"/>
          <w:sz w:val="24"/>
        </w:rPr>
        <w:t xml:space="preserve"> with disability are more likely to drop out of school early, be excluded from the labour force, have fewer educational qualifications, experience poverty and be socially isolated; indicators of long term, and often life-long</w:t>
      </w:r>
      <w:r w:rsidR="00B02C83">
        <w:rPr>
          <w:rFonts w:ascii="Arial" w:hAnsi="Arial" w:cs="Arial"/>
          <w:color w:val="000000"/>
          <w:spacing w:val="0"/>
          <w:sz w:val="24"/>
        </w:rPr>
        <w:t xml:space="preserve"> </w:t>
      </w:r>
      <w:r w:rsidR="005B38DC" w:rsidRPr="005B38DC">
        <w:rPr>
          <w:rFonts w:ascii="Arial" w:hAnsi="Arial" w:cs="Arial"/>
          <w:color w:val="000000"/>
          <w:spacing w:val="0"/>
          <w:sz w:val="24"/>
        </w:rPr>
        <w:t>disadvantage.</w:t>
      </w:r>
      <w:r w:rsidR="001460C9">
        <w:rPr>
          <w:rStyle w:val="FootnoteReference"/>
          <w:rFonts w:ascii="Arial" w:hAnsi="Arial" w:cs="Arial"/>
          <w:color w:val="000000"/>
          <w:spacing w:val="0"/>
          <w:sz w:val="24"/>
        </w:rPr>
        <w:footnoteReference w:id="3"/>
      </w:r>
    </w:p>
    <w:p w14:paraId="5BA5D989" w14:textId="31F83C80" w:rsidR="00130150" w:rsidRPr="004C15C0" w:rsidRDefault="008261CA" w:rsidP="008261CA">
      <w:pPr>
        <w:spacing w:before="240" w:after="0" w:line="259" w:lineRule="auto"/>
        <w:rPr>
          <w:rFonts w:ascii="Arial" w:hAnsi="Arial" w:cs="Arial"/>
          <w:sz w:val="24"/>
        </w:rPr>
      </w:pPr>
      <w:r w:rsidRPr="00130150">
        <w:rPr>
          <w:rFonts w:ascii="Arial" w:hAnsi="Arial" w:cs="Arial"/>
          <w:sz w:val="24"/>
        </w:rPr>
        <w:t xml:space="preserve">Young people with </w:t>
      </w:r>
      <w:r w:rsidRPr="004C15C0">
        <w:rPr>
          <w:rFonts w:ascii="Arial" w:hAnsi="Arial" w:cs="Arial"/>
          <w:sz w:val="24"/>
        </w:rPr>
        <w:t>disability are</w:t>
      </w:r>
      <w:r w:rsidR="00820E6E" w:rsidRPr="004C15C0">
        <w:rPr>
          <w:rFonts w:ascii="Arial" w:hAnsi="Arial" w:cs="Arial"/>
          <w:sz w:val="24"/>
        </w:rPr>
        <w:t>:</w:t>
      </w:r>
    </w:p>
    <w:p w14:paraId="5CD69F42" w14:textId="689AD420" w:rsidR="00130150" w:rsidRPr="004C15C0" w:rsidRDefault="008261CA" w:rsidP="00130150">
      <w:pPr>
        <w:pStyle w:val="ListParagraph"/>
        <w:numPr>
          <w:ilvl w:val="0"/>
          <w:numId w:val="23"/>
        </w:numPr>
        <w:spacing w:before="240" w:after="0"/>
        <w:rPr>
          <w:rFonts w:ascii="Arial" w:hAnsi="Arial" w:cs="Arial"/>
          <w:sz w:val="24"/>
        </w:rPr>
      </w:pPr>
      <w:r w:rsidRPr="004C15C0">
        <w:rPr>
          <w:rFonts w:ascii="Arial" w:hAnsi="Arial" w:cs="Arial"/>
          <w:sz w:val="24"/>
        </w:rPr>
        <w:t>4 times more likely to get their main income source from government pension or allowances compared to other young people (44% to 11%).</w:t>
      </w:r>
      <w:r w:rsidR="001460C9" w:rsidRPr="004C15C0">
        <w:rPr>
          <w:rStyle w:val="FootnoteReference"/>
          <w:rFonts w:ascii="Arial" w:hAnsi="Arial" w:cs="Arial"/>
          <w:sz w:val="24"/>
        </w:rPr>
        <w:footnoteReference w:id="4"/>
      </w:r>
    </w:p>
    <w:p w14:paraId="50114DAB" w14:textId="0DFCA587" w:rsidR="00130150" w:rsidRPr="004C15C0" w:rsidRDefault="008261CA" w:rsidP="00130150">
      <w:pPr>
        <w:pStyle w:val="ListParagraph"/>
        <w:numPr>
          <w:ilvl w:val="0"/>
          <w:numId w:val="23"/>
        </w:numPr>
        <w:spacing w:before="240" w:after="0"/>
        <w:rPr>
          <w:rFonts w:ascii="Arial" w:hAnsi="Arial" w:cs="Arial"/>
          <w:sz w:val="24"/>
        </w:rPr>
      </w:pPr>
      <w:r w:rsidRPr="004C15C0">
        <w:rPr>
          <w:rFonts w:ascii="Arial" w:hAnsi="Arial" w:cs="Arial"/>
          <w:sz w:val="24"/>
        </w:rPr>
        <w:t xml:space="preserve">most likely to experiencing the </w:t>
      </w:r>
      <w:r w:rsidR="00A03772" w:rsidRPr="004C15C0">
        <w:rPr>
          <w:rFonts w:ascii="Arial" w:hAnsi="Arial" w:cs="Arial"/>
          <w:sz w:val="24"/>
        </w:rPr>
        <w:t xml:space="preserve">risk factors </w:t>
      </w:r>
      <w:r w:rsidRPr="004C15C0">
        <w:rPr>
          <w:rFonts w:ascii="Arial" w:hAnsi="Arial" w:cs="Arial"/>
          <w:sz w:val="24"/>
        </w:rPr>
        <w:t xml:space="preserve">of disadvantage </w:t>
      </w:r>
      <w:r w:rsidR="00A03772" w:rsidRPr="004C15C0">
        <w:rPr>
          <w:rFonts w:ascii="Arial" w:hAnsi="Arial" w:cs="Arial"/>
          <w:sz w:val="24"/>
        </w:rPr>
        <w:t xml:space="preserve">and </w:t>
      </w:r>
      <w:r w:rsidRPr="004C15C0">
        <w:rPr>
          <w:rFonts w:ascii="Arial" w:hAnsi="Arial" w:cs="Arial"/>
          <w:sz w:val="24"/>
        </w:rPr>
        <w:t xml:space="preserve">to </w:t>
      </w:r>
      <w:r w:rsidR="00A03772" w:rsidRPr="004C15C0">
        <w:rPr>
          <w:rFonts w:ascii="Arial" w:hAnsi="Arial" w:cs="Arial"/>
          <w:sz w:val="24"/>
        </w:rPr>
        <w:t xml:space="preserve">have </w:t>
      </w:r>
      <w:r w:rsidRPr="004C15C0">
        <w:rPr>
          <w:rFonts w:ascii="Arial" w:hAnsi="Arial" w:cs="Arial"/>
          <w:sz w:val="24"/>
        </w:rPr>
        <w:t xml:space="preserve">multiple </w:t>
      </w:r>
      <w:r w:rsidR="00130150" w:rsidRPr="004C15C0">
        <w:rPr>
          <w:rFonts w:ascii="Arial" w:hAnsi="Arial" w:cs="Arial"/>
          <w:sz w:val="24"/>
        </w:rPr>
        <w:t>layers</w:t>
      </w:r>
      <w:r w:rsidRPr="004C15C0">
        <w:rPr>
          <w:rFonts w:ascii="Arial" w:hAnsi="Arial" w:cs="Arial"/>
          <w:sz w:val="24"/>
        </w:rPr>
        <w:t xml:space="preserve"> of disadvantage. </w:t>
      </w:r>
    </w:p>
    <w:p w14:paraId="31710B65" w14:textId="77777777" w:rsidR="004C15C0" w:rsidRPr="004C15C0" w:rsidRDefault="008261CA" w:rsidP="00130150">
      <w:pPr>
        <w:pStyle w:val="ListParagraph"/>
        <w:numPr>
          <w:ilvl w:val="0"/>
          <w:numId w:val="23"/>
        </w:numPr>
        <w:spacing w:before="240" w:after="0"/>
        <w:rPr>
          <w:rFonts w:ascii="Arial" w:hAnsi="Arial" w:cs="Arial"/>
          <w:sz w:val="24"/>
        </w:rPr>
      </w:pPr>
      <w:r w:rsidRPr="004C15C0">
        <w:rPr>
          <w:rFonts w:ascii="Arial" w:hAnsi="Arial" w:cs="Arial"/>
          <w:sz w:val="24"/>
        </w:rPr>
        <w:t>They may be vulnerable to abuse and neglect, and are more likely than the general population to require child protection services</w:t>
      </w:r>
      <w:r w:rsidR="00EF377E" w:rsidRPr="004C15C0">
        <w:rPr>
          <w:rFonts w:ascii="Arial" w:hAnsi="Arial" w:cs="Arial"/>
          <w:sz w:val="24"/>
        </w:rPr>
        <w:t>.</w:t>
      </w:r>
      <w:r w:rsidRPr="004C15C0">
        <w:rPr>
          <w:rStyle w:val="EndnoteReference"/>
          <w:rFonts w:ascii="Arial" w:hAnsi="Arial" w:cs="Arial"/>
          <w:sz w:val="24"/>
          <w:szCs w:val="24"/>
        </w:rPr>
        <w:t xml:space="preserve"> </w:t>
      </w:r>
      <w:r w:rsidR="004C15C0">
        <w:rPr>
          <w:rStyle w:val="FootnoteReference"/>
          <w:rFonts w:ascii="Arial" w:hAnsi="Arial" w:cs="Arial"/>
          <w:sz w:val="24"/>
          <w:szCs w:val="24"/>
        </w:rPr>
        <w:footnoteReference w:id="5"/>
      </w:r>
    </w:p>
    <w:p w14:paraId="413962DA" w14:textId="1B35C1D6" w:rsidR="008261CA" w:rsidRDefault="008261CA" w:rsidP="00130150">
      <w:pPr>
        <w:pStyle w:val="ListParagraph"/>
        <w:numPr>
          <w:ilvl w:val="0"/>
          <w:numId w:val="23"/>
        </w:numPr>
        <w:spacing w:before="240" w:after="0"/>
        <w:rPr>
          <w:rFonts w:ascii="Arial" w:hAnsi="Arial" w:cs="Arial"/>
          <w:sz w:val="24"/>
        </w:rPr>
      </w:pPr>
      <w:r w:rsidRPr="004C15C0">
        <w:rPr>
          <w:rFonts w:ascii="Arial" w:hAnsi="Arial" w:cs="Arial"/>
          <w:sz w:val="24"/>
        </w:rPr>
        <w:t xml:space="preserve">over-represented in the criminal justice </w:t>
      </w:r>
      <w:r w:rsidR="004C15C0" w:rsidRPr="004C15C0">
        <w:rPr>
          <w:rFonts w:ascii="Arial" w:hAnsi="Arial" w:cs="Arial"/>
          <w:sz w:val="24"/>
        </w:rPr>
        <w:t>system.</w:t>
      </w:r>
      <w:r w:rsidRPr="00130150">
        <w:rPr>
          <w:rFonts w:ascii="Arial" w:hAnsi="Arial" w:cs="Arial"/>
          <w:sz w:val="24"/>
        </w:rPr>
        <w:t xml:space="preserve"> </w:t>
      </w:r>
      <w:r w:rsidR="00A03772">
        <w:rPr>
          <w:rStyle w:val="FootnoteReference"/>
          <w:rFonts w:ascii="Arial" w:hAnsi="Arial" w:cs="Arial"/>
          <w:sz w:val="24"/>
          <w:szCs w:val="24"/>
        </w:rPr>
        <w:footnoteReference w:id="6"/>
      </w:r>
    </w:p>
    <w:p w14:paraId="7859DF38" w14:textId="5C911137" w:rsidR="00EE6C0A" w:rsidRDefault="00EE6C0A" w:rsidP="00130150">
      <w:pPr>
        <w:pStyle w:val="ListParagraph"/>
        <w:numPr>
          <w:ilvl w:val="0"/>
          <w:numId w:val="23"/>
        </w:numPr>
        <w:spacing w:before="240" w:after="0"/>
        <w:rPr>
          <w:rFonts w:ascii="Arial" w:hAnsi="Arial" w:cs="Arial"/>
          <w:sz w:val="24"/>
        </w:rPr>
      </w:pPr>
      <w:r>
        <w:rPr>
          <w:rFonts w:ascii="Arial" w:hAnsi="Arial" w:cs="Arial"/>
          <w:sz w:val="24"/>
        </w:rPr>
        <w:t xml:space="preserve">much more likely to have mental health issues </w:t>
      </w:r>
    </w:p>
    <w:p w14:paraId="10C0CCDE" w14:textId="5AF0E2AD" w:rsidR="00436767" w:rsidRPr="00130150" w:rsidRDefault="00EE6C0A" w:rsidP="00130150">
      <w:pPr>
        <w:pStyle w:val="ListParagraph"/>
        <w:numPr>
          <w:ilvl w:val="0"/>
          <w:numId w:val="23"/>
        </w:numPr>
        <w:spacing w:before="240" w:after="0"/>
        <w:rPr>
          <w:rFonts w:ascii="Arial" w:hAnsi="Arial" w:cs="Arial"/>
          <w:sz w:val="24"/>
        </w:rPr>
      </w:pPr>
      <w:r>
        <w:rPr>
          <w:rFonts w:ascii="Arial" w:hAnsi="Arial" w:cs="Arial"/>
          <w:color w:val="000000"/>
          <w:sz w:val="24"/>
          <w:szCs w:val="24"/>
        </w:rPr>
        <w:t xml:space="preserve">twice as likely not to </w:t>
      </w:r>
      <w:r w:rsidR="00436767" w:rsidRPr="005B38DC">
        <w:rPr>
          <w:rFonts w:ascii="Arial" w:hAnsi="Arial" w:cs="Arial"/>
          <w:color w:val="000000"/>
          <w:sz w:val="24"/>
          <w:szCs w:val="24"/>
        </w:rPr>
        <w:t xml:space="preserve">had completed Year 12 or its equivalent </w:t>
      </w:r>
      <w:r>
        <w:rPr>
          <w:rFonts w:ascii="Arial" w:hAnsi="Arial" w:cs="Arial"/>
          <w:color w:val="000000"/>
          <w:sz w:val="24"/>
          <w:szCs w:val="24"/>
        </w:rPr>
        <w:t>(44%</w:t>
      </w:r>
      <w:r w:rsidRPr="005B38DC">
        <w:rPr>
          <w:rFonts w:ascii="Arial" w:hAnsi="Arial" w:cs="Arial"/>
          <w:color w:val="000000"/>
          <w:sz w:val="24"/>
          <w:szCs w:val="24"/>
        </w:rPr>
        <w:t xml:space="preserve"> </w:t>
      </w:r>
      <w:r w:rsidR="004D2405">
        <w:rPr>
          <w:rFonts w:ascii="Arial" w:hAnsi="Arial" w:cs="Arial"/>
          <w:color w:val="000000"/>
          <w:sz w:val="24"/>
          <w:szCs w:val="24"/>
        </w:rPr>
        <w:t>89</w:t>
      </w:r>
      <w:r>
        <w:rPr>
          <w:rFonts w:ascii="Arial" w:hAnsi="Arial" w:cs="Arial"/>
          <w:color w:val="000000"/>
          <w:sz w:val="24"/>
          <w:szCs w:val="24"/>
        </w:rPr>
        <w:t>%</w:t>
      </w:r>
      <w:r w:rsidR="00CC5485">
        <w:rPr>
          <w:rFonts w:ascii="Arial" w:hAnsi="Arial" w:cs="Arial"/>
          <w:color w:val="000000"/>
          <w:sz w:val="24"/>
          <w:szCs w:val="24"/>
        </w:rPr>
        <w:t xml:space="preserve"> of </w:t>
      </w:r>
      <w:r w:rsidR="004C15C0">
        <w:rPr>
          <w:rFonts w:ascii="Arial" w:hAnsi="Arial" w:cs="Arial"/>
          <w:color w:val="000000"/>
          <w:sz w:val="24"/>
          <w:szCs w:val="24"/>
        </w:rPr>
        <w:t>in the</w:t>
      </w:r>
      <w:r w:rsidR="00CC5485">
        <w:rPr>
          <w:rFonts w:ascii="Arial" w:hAnsi="Arial" w:cs="Arial"/>
          <w:color w:val="000000"/>
          <w:sz w:val="24"/>
          <w:szCs w:val="24"/>
        </w:rPr>
        <w:t xml:space="preserve"> 20 to 24 age group</w:t>
      </w:r>
      <w:r>
        <w:rPr>
          <w:rFonts w:ascii="Arial" w:hAnsi="Arial" w:cs="Arial"/>
          <w:color w:val="000000"/>
          <w:sz w:val="24"/>
          <w:szCs w:val="24"/>
        </w:rPr>
        <w:t>)</w:t>
      </w:r>
      <w:r w:rsidR="00EF377E">
        <w:rPr>
          <w:rFonts w:ascii="Arial" w:hAnsi="Arial" w:cs="Arial"/>
          <w:color w:val="000000"/>
          <w:sz w:val="24"/>
          <w:szCs w:val="24"/>
        </w:rPr>
        <w:t>.</w:t>
      </w:r>
      <w:r w:rsidR="004D2405">
        <w:rPr>
          <w:rStyle w:val="FootnoteReference"/>
          <w:rFonts w:ascii="Arial" w:hAnsi="Arial" w:cs="Arial"/>
          <w:color w:val="000000"/>
          <w:sz w:val="24"/>
          <w:szCs w:val="24"/>
        </w:rPr>
        <w:footnoteReference w:id="7"/>
      </w:r>
      <w:r w:rsidR="004C15C0">
        <w:rPr>
          <w:rFonts w:ascii="Arial" w:hAnsi="Arial" w:cs="Arial"/>
          <w:color w:val="000000"/>
          <w:sz w:val="24"/>
          <w:szCs w:val="24"/>
        </w:rPr>
        <w:t xml:space="preserve"> </w:t>
      </w:r>
      <w:r w:rsidR="004D2405">
        <w:rPr>
          <w:rStyle w:val="FootnoteReference"/>
          <w:rFonts w:ascii="Arial" w:hAnsi="Arial" w:cs="Arial"/>
          <w:color w:val="000000"/>
          <w:sz w:val="24"/>
          <w:szCs w:val="24"/>
        </w:rPr>
        <w:footnoteReference w:id="8"/>
      </w:r>
    </w:p>
    <w:p w14:paraId="1D9214FF" w14:textId="7AAD48A4" w:rsidR="00E3704A" w:rsidRDefault="00E3704A" w:rsidP="00E3704A">
      <w:pPr>
        <w:spacing w:before="240" w:after="0" w:line="259" w:lineRule="auto"/>
        <w:jc w:val="both"/>
        <w:rPr>
          <w:rFonts w:ascii="Arial" w:eastAsiaTheme="minorHAnsi" w:hAnsi="Arial" w:cs="Arial"/>
          <w:color w:val="auto"/>
          <w:spacing w:val="0"/>
          <w:sz w:val="24"/>
          <w:lang w:eastAsia="en-US"/>
        </w:rPr>
      </w:pPr>
      <w:r w:rsidRPr="00E3704A">
        <w:rPr>
          <w:rFonts w:ascii="Arial" w:hAnsi="Arial" w:cs="Arial"/>
          <w:sz w:val="24"/>
        </w:rPr>
        <w:t>The transition from school to employment for young people with disabilities is often difficult and many neither pursue further study nor gain employment</w:t>
      </w:r>
      <w:r>
        <w:rPr>
          <w:rFonts w:ascii="Arial" w:hAnsi="Arial" w:cs="Arial"/>
          <w:sz w:val="24"/>
        </w:rPr>
        <w:t>.</w:t>
      </w:r>
      <w:r w:rsidRPr="00130150">
        <w:rPr>
          <w:rFonts w:ascii="Arial" w:eastAsiaTheme="minorHAnsi" w:hAnsi="Arial" w:cs="Arial"/>
          <w:color w:val="auto"/>
          <w:spacing w:val="0"/>
          <w:sz w:val="24"/>
          <w:lang w:eastAsia="en-US"/>
        </w:rPr>
        <w:t xml:space="preserve"> </w:t>
      </w:r>
    </w:p>
    <w:p w14:paraId="19F5C8F4" w14:textId="7F02CD76" w:rsidR="008261CA" w:rsidRPr="00130150" w:rsidRDefault="008261CA" w:rsidP="008261CA">
      <w:pPr>
        <w:spacing w:before="240" w:after="0" w:line="259" w:lineRule="auto"/>
        <w:jc w:val="both"/>
        <w:rPr>
          <w:rFonts w:ascii="Arial" w:hAnsi="Arial" w:cs="Arial"/>
          <w:bCs/>
          <w:sz w:val="24"/>
        </w:rPr>
      </w:pPr>
      <w:r w:rsidRPr="00130150">
        <w:rPr>
          <w:rFonts w:ascii="Arial" w:eastAsiaTheme="minorHAnsi" w:hAnsi="Arial" w:cs="Arial"/>
          <w:color w:val="auto"/>
          <w:spacing w:val="0"/>
          <w:sz w:val="24"/>
          <w:lang w:eastAsia="en-US"/>
        </w:rPr>
        <w:t>This steady decline in employment participation</w:t>
      </w:r>
      <w:r w:rsidR="00E3704A">
        <w:rPr>
          <w:rFonts w:ascii="Arial" w:eastAsiaTheme="minorHAnsi" w:hAnsi="Arial" w:cs="Arial"/>
          <w:color w:val="auto"/>
          <w:spacing w:val="0"/>
          <w:sz w:val="24"/>
          <w:lang w:eastAsia="en-US"/>
        </w:rPr>
        <w:t xml:space="preserve"> over the last 20 years </w:t>
      </w:r>
      <w:r w:rsidRPr="00130150">
        <w:rPr>
          <w:rFonts w:ascii="Arial" w:eastAsiaTheme="minorHAnsi" w:hAnsi="Arial" w:cs="Arial"/>
          <w:color w:val="auto"/>
          <w:spacing w:val="0"/>
          <w:sz w:val="24"/>
          <w:lang w:eastAsia="en-US"/>
        </w:rPr>
        <w:t xml:space="preserve">for young people with disability is </w:t>
      </w:r>
      <w:r w:rsidRPr="00130150">
        <w:rPr>
          <w:rFonts w:ascii="Arial" w:hAnsi="Arial" w:cs="Arial"/>
          <w:sz w:val="24"/>
        </w:rPr>
        <w:t>an indicator of long term, and often life-long</w:t>
      </w:r>
      <w:r w:rsidR="00CB26EB">
        <w:rPr>
          <w:rFonts w:ascii="Arial" w:hAnsi="Arial" w:cs="Arial"/>
          <w:sz w:val="24"/>
        </w:rPr>
        <w:t xml:space="preserve"> </w:t>
      </w:r>
      <w:r w:rsidRPr="00130150">
        <w:rPr>
          <w:rFonts w:ascii="Arial" w:hAnsi="Arial" w:cs="Arial"/>
          <w:sz w:val="24"/>
        </w:rPr>
        <w:t xml:space="preserve">disadvantage. </w:t>
      </w:r>
    </w:p>
    <w:p w14:paraId="052AE59A" w14:textId="299134F5" w:rsidR="008261CA" w:rsidRPr="00130150" w:rsidRDefault="008261CA" w:rsidP="008261CA">
      <w:pPr>
        <w:spacing w:before="240" w:after="0" w:line="259" w:lineRule="auto"/>
        <w:jc w:val="both"/>
        <w:rPr>
          <w:rFonts w:ascii="Arial" w:hAnsi="Arial" w:cs="Arial"/>
          <w:sz w:val="24"/>
        </w:rPr>
      </w:pPr>
      <w:r w:rsidRPr="00130150">
        <w:rPr>
          <w:rFonts w:ascii="Arial" w:hAnsi="Arial" w:cs="Arial"/>
          <w:sz w:val="24"/>
        </w:rPr>
        <w:lastRenderedPageBreak/>
        <w:t>This is costly for government, society and the individual. Young people with disability are at particular risk of being caught in the welfare dependency trap (Deloitte Access Economics, 2011).</w:t>
      </w:r>
    </w:p>
    <w:p w14:paraId="17671288" w14:textId="64C8BAE1" w:rsidR="00350DC6" w:rsidRPr="00E3704A" w:rsidRDefault="008261CA" w:rsidP="00E3704A">
      <w:pPr>
        <w:spacing w:before="240" w:after="0" w:line="259" w:lineRule="auto"/>
        <w:jc w:val="both"/>
        <w:rPr>
          <w:rFonts w:ascii="Arial" w:hAnsi="Arial" w:cs="Arial"/>
          <w:bCs/>
          <w:sz w:val="24"/>
        </w:rPr>
      </w:pPr>
      <w:r w:rsidRPr="00130150">
        <w:rPr>
          <w:rFonts w:ascii="Arial" w:hAnsi="Arial" w:cs="Arial"/>
          <w:sz w:val="24"/>
        </w:rPr>
        <w:t xml:space="preserve">It is imperative that these trends are reversed, especially as it has been found that if young people with significant disability do not engage in mainstream employment by age 21, it is unlikely that they ever will </w:t>
      </w:r>
      <w:r w:rsidRPr="00130150">
        <w:rPr>
          <w:rFonts w:ascii="Arial" w:hAnsi="Arial" w:cs="Arial"/>
          <w:sz w:val="24"/>
        </w:rPr>
        <w:fldChar w:fldCharType="begin"/>
      </w:r>
      <w:r w:rsidRPr="00130150">
        <w:rPr>
          <w:rFonts w:ascii="Arial" w:hAnsi="Arial" w:cs="Arial"/>
          <w:sz w:val="24"/>
        </w:rPr>
        <w:instrText xml:space="preserve"> ADDIN EN.CITE &lt;EndNote&gt;&lt;Cite&gt;&lt;Author&gt;Siperstein&lt;/Author&gt;&lt;Year&gt;2013&lt;/Year&gt;&lt;RecNum&gt;27&lt;/RecNum&gt;&lt;DisplayText&gt;(Siperstein, Parker, &amp;amp; Drascher, 2013)&lt;/DisplayText&gt;&lt;record&gt;&lt;rec-number&gt;27&lt;/rec-number&gt;&lt;foreign-keys&gt;&lt;key app="EN" db-id="fwdatsxvgz9adre2wd9x2sv0xr00zzzvd9fs" timestamp="1576559322"&gt;27&lt;/key&gt;&lt;/foreign-keys&gt;&lt;ref-type name="Journal Article"&gt;17&lt;/ref-type&gt;&lt;contributors&gt;&lt;authors&gt;&lt;author&gt;Siperstein, Gary N&lt;/author&gt;&lt;author&gt;Parker, Robin C&lt;/author&gt;&lt;author&gt;Drascher, Max&lt;/author&gt;&lt;/authors&gt;&lt;/contributors&gt;&lt;titles&gt;&lt;title&gt;National snapshot of adults with intellectual disabilities in the labor force&lt;/title&gt;&lt;secondary-title&gt;Journal of Vocational Rehabilitation&lt;/secondary-title&gt;&lt;/titles&gt;&lt;periodical&gt;&lt;full-title&gt;Journal of Vocational Rehabilitation&lt;/full-title&gt;&lt;/periodical&gt;&lt;pages&gt;157-165&lt;/pages&gt;&lt;volume&gt;39&lt;/volume&gt;&lt;number&gt;3&lt;/number&gt;&lt;dates&gt;&lt;year&gt;2013&lt;/year&gt;&lt;/dates&gt;&lt;isbn&gt;1052-2263&lt;/isbn&gt;&lt;urls&gt;&lt;/urls&gt;&lt;/record&gt;&lt;/Cite&gt;&lt;/EndNote&gt;</w:instrText>
      </w:r>
      <w:r w:rsidRPr="00130150">
        <w:rPr>
          <w:rFonts w:ascii="Arial" w:hAnsi="Arial" w:cs="Arial"/>
          <w:sz w:val="24"/>
        </w:rPr>
        <w:fldChar w:fldCharType="separate"/>
      </w:r>
      <w:r w:rsidRPr="00130150">
        <w:rPr>
          <w:rFonts w:ascii="Arial" w:hAnsi="Arial" w:cs="Arial"/>
          <w:noProof/>
          <w:sz w:val="24"/>
        </w:rPr>
        <w:t>(Siperstein, Parker, &amp; Drascher, 2013)</w:t>
      </w:r>
      <w:r w:rsidRPr="00130150">
        <w:rPr>
          <w:rFonts w:ascii="Arial" w:hAnsi="Arial" w:cs="Arial"/>
          <w:sz w:val="24"/>
        </w:rPr>
        <w:fldChar w:fldCharType="end"/>
      </w:r>
      <w:r w:rsidRPr="00130150">
        <w:rPr>
          <w:rFonts w:ascii="Arial" w:hAnsi="Arial" w:cs="Arial"/>
          <w:sz w:val="24"/>
        </w:rPr>
        <w:t>.</w:t>
      </w:r>
      <w:r w:rsidRPr="00130150">
        <w:rPr>
          <w:rFonts w:ascii="Arial" w:hAnsi="Arial" w:cs="Arial"/>
          <w:bCs/>
          <w:sz w:val="24"/>
        </w:rPr>
        <w:t xml:space="preserve"> </w:t>
      </w:r>
    </w:p>
    <w:p w14:paraId="0C4D55B1" w14:textId="42A9760B" w:rsidR="004C4D9D" w:rsidRPr="00130150" w:rsidRDefault="004C4D9D" w:rsidP="004C4D9D">
      <w:pPr>
        <w:spacing w:before="240" w:after="0" w:line="259" w:lineRule="auto"/>
        <w:rPr>
          <w:rFonts w:ascii="Arial" w:hAnsi="Arial" w:cs="Arial"/>
          <w:sz w:val="24"/>
        </w:rPr>
      </w:pPr>
      <w:r w:rsidRPr="00130150">
        <w:rPr>
          <w:rFonts w:ascii="Arial" w:hAnsi="Arial" w:cs="Arial"/>
          <w:sz w:val="24"/>
        </w:rPr>
        <w:t>We need to break the link between disability and poverty</w:t>
      </w:r>
      <w:r w:rsidR="005B77E7">
        <w:rPr>
          <w:rFonts w:ascii="Arial" w:hAnsi="Arial" w:cs="Arial"/>
          <w:sz w:val="24"/>
        </w:rPr>
        <w:t xml:space="preserve">, </w:t>
      </w:r>
      <w:r w:rsidRPr="00130150">
        <w:rPr>
          <w:rFonts w:ascii="Arial" w:hAnsi="Arial" w:cs="Arial"/>
          <w:sz w:val="24"/>
        </w:rPr>
        <w:t xml:space="preserve">the </w:t>
      </w:r>
      <w:r w:rsidR="001C2C05" w:rsidRPr="00130150">
        <w:rPr>
          <w:rFonts w:ascii="Arial" w:hAnsi="Arial" w:cs="Arial"/>
          <w:sz w:val="24"/>
        </w:rPr>
        <w:t>key</w:t>
      </w:r>
      <w:r w:rsidR="008E0192">
        <w:rPr>
          <w:rFonts w:ascii="Arial" w:hAnsi="Arial" w:cs="Arial"/>
          <w:sz w:val="24"/>
        </w:rPr>
        <w:t xml:space="preserve"> </w:t>
      </w:r>
      <w:r w:rsidRPr="00130150">
        <w:rPr>
          <w:rFonts w:ascii="Arial" w:hAnsi="Arial" w:cs="Arial"/>
          <w:sz w:val="24"/>
        </w:rPr>
        <w:t>to do</w:t>
      </w:r>
      <w:r w:rsidR="00EF377E">
        <w:rPr>
          <w:rFonts w:ascii="Arial" w:hAnsi="Arial" w:cs="Arial"/>
          <w:sz w:val="24"/>
        </w:rPr>
        <w:t>ing</w:t>
      </w:r>
      <w:r w:rsidRPr="00130150">
        <w:rPr>
          <w:rFonts w:ascii="Arial" w:hAnsi="Arial" w:cs="Arial"/>
          <w:sz w:val="24"/>
        </w:rPr>
        <w:t xml:space="preserve"> that is</w:t>
      </w:r>
      <w:r w:rsidR="00EF377E">
        <w:rPr>
          <w:rFonts w:ascii="Arial" w:hAnsi="Arial" w:cs="Arial"/>
          <w:sz w:val="24"/>
        </w:rPr>
        <w:t xml:space="preserve"> to</w:t>
      </w:r>
      <w:r w:rsidRPr="00130150">
        <w:rPr>
          <w:rFonts w:ascii="Arial" w:hAnsi="Arial" w:cs="Arial"/>
          <w:sz w:val="24"/>
        </w:rPr>
        <w:t xml:space="preserve"> focus on supporting young p</w:t>
      </w:r>
      <w:r w:rsidR="0073254E" w:rsidRPr="00130150">
        <w:rPr>
          <w:rFonts w:ascii="Arial" w:hAnsi="Arial" w:cs="Arial"/>
          <w:sz w:val="24"/>
        </w:rPr>
        <w:t>e</w:t>
      </w:r>
      <w:r w:rsidRPr="00130150">
        <w:rPr>
          <w:rFonts w:ascii="Arial" w:hAnsi="Arial" w:cs="Arial"/>
          <w:sz w:val="24"/>
        </w:rPr>
        <w:t>op</w:t>
      </w:r>
      <w:r w:rsidR="0073254E" w:rsidRPr="00130150">
        <w:rPr>
          <w:rFonts w:ascii="Arial" w:hAnsi="Arial" w:cs="Arial"/>
          <w:sz w:val="24"/>
        </w:rPr>
        <w:t>le</w:t>
      </w:r>
      <w:r w:rsidRPr="00130150">
        <w:rPr>
          <w:rFonts w:ascii="Arial" w:hAnsi="Arial" w:cs="Arial"/>
          <w:sz w:val="24"/>
        </w:rPr>
        <w:t xml:space="preserve"> with disability </w:t>
      </w:r>
      <w:r w:rsidR="0073254E" w:rsidRPr="00130150">
        <w:rPr>
          <w:rFonts w:ascii="Arial" w:hAnsi="Arial" w:cs="Arial"/>
          <w:sz w:val="24"/>
        </w:rPr>
        <w:t xml:space="preserve">to take an employment pathway. </w:t>
      </w:r>
      <w:r w:rsidRPr="00130150">
        <w:rPr>
          <w:rFonts w:ascii="Arial" w:hAnsi="Arial" w:cs="Arial"/>
          <w:sz w:val="24"/>
        </w:rPr>
        <w:t xml:space="preserve">  </w:t>
      </w:r>
    </w:p>
    <w:p w14:paraId="2EB0F0BE" w14:textId="4CF8D204" w:rsidR="008261CA" w:rsidRPr="00130150" w:rsidRDefault="008261CA" w:rsidP="003078E5">
      <w:pPr>
        <w:spacing w:before="240" w:after="0" w:line="259" w:lineRule="auto"/>
        <w:rPr>
          <w:rFonts w:ascii="Arial" w:hAnsi="Arial" w:cs="Arial"/>
          <w:b/>
          <w:bCs/>
          <w:sz w:val="24"/>
        </w:rPr>
      </w:pPr>
      <w:r w:rsidRPr="00130150">
        <w:rPr>
          <w:rFonts w:ascii="Arial" w:hAnsi="Arial" w:cs="Arial"/>
          <w:b/>
          <w:bCs/>
          <w:sz w:val="24"/>
        </w:rPr>
        <w:t xml:space="preserve">Transition to </w:t>
      </w:r>
      <w:r w:rsidR="00C16D83">
        <w:rPr>
          <w:rFonts w:ascii="Arial" w:hAnsi="Arial" w:cs="Arial"/>
          <w:b/>
          <w:bCs/>
          <w:sz w:val="24"/>
        </w:rPr>
        <w:t>W</w:t>
      </w:r>
      <w:r w:rsidRPr="00130150">
        <w:rPr>
          <w:rFonts w:ascii="Arial" w:hAnsi="Arial" w:cs="Arial"/>
          <w:b/>
          <w:bCs/>
          <w:sz w:val="24"/>
        </w:rPr>
        <w:t xml:space="preserve">ork </w:t>
      </w:r>
      <w:r w:rsidR="00CC689F">
        <w:rPr>
          <w:rFonts w:ascii="Arial" w:hAnsi="Arial" w:cs="Arial"/>
          <w:b/>
          <w:bCs/>
          <w:sz w:val="24"/>
        </w:rPr>
        <w:t>and DES</w:t>
      </w:r>
    </w:p>
    <w:p w14:paraId="3867ADB8" w14:textId="7569D6FC" w:rsidR="008261CA" w:rsidRPr="004C15C0" w:rsidRDefault="001C2C05" w:rsidP="001C2C05">
      <w:pPr>
        <w:spacing w:before="0" w:after="0" w:line="240" w:lineRule="auto"/>
        <w:rPr>
          <w:rFonts w:ascii="Arial" w:hAnsi="Arial" w:cs="Arial"/>
          <w:color w:val="auto"/>
          <w:sz w:val="24"/>
          <w:shd w:val="clear" w:color="auto" w:fill="FFFFFF"/>
        </w:rPr>
      </w:pPr>
      <w:r w:rsidRPr="00436767">
        <w:rPr>
          <w:rFonts w:ascii="Arial" w:hAnsi="Arial" w:cs="Arial"/>
          <w:color w:val="auto"/>
          <w:sz w:val="24"/>
          <w:shd w:val="clear" w:color="auto" w:fill="FFFFFF"/>
        </w:rPr>
        <w:t xml:space="preserve">The consultation </w:t>
      </w:r>
      <w:r w:rsidRPr="004C15C0">
        <w:rPr>
          <w:rFonts w:ascii="Arial" w:hAnsi="Arial" w:cs="Arial"/>
          <w:color w:val="auto"/>
          <w:sz w:val="24"/>
          <w:shd w:val="clear" w:color="auto" w:fill="FFFFFF"/>
        </w:rPr>
        <w:t xml:space="preserve">paper states: </w:t>
      </w:r>
      <w:r w:rsidR="00774E65" w:rsidRPr="004C15C0">
        <w:rPr>
          <w:rFonts w:ascii="Arial" w:hAnsi="Arial" w:cs="Arial"/>
          <w:color w:val="auto"/>
          <w:sz w:val="24"/>
          <w:shd w:val="clear" w:color="auto" w:fill="FFFFFF"/>
        </w:rPr>
        <w:t>“</w:t>
      </w:r>
      <w:r w:rsidR="008261CA" w:rsidRPr="004C15C0">
        <w:rPr>
          <w:rFonts w:ascii="Arial" w:hAnsi="Arial" w:cs="Arial"/>
          <w:color w:val="auto"/>
          <w:sz w:val="24"/>
          <w:shd w:val="clear" w:color="auto" w:fill="FFFFFF"/>
        </w:rPr>
        <w:t>In Transition to Work young people can get intensive pre-employment support to help them achieve their employment and education goals.</w:t>
      </w:r>
      <w:r w:rsidR="00774E65" w:rsidRPr="004C15C0">
        <w:rPr>
          <w:rFonts w:ascii="Arial" w:hAnsi="Arial" w:cs="Arial"/>
          <w:color w:val="auto"/>
          <w:sz w:val="24"/>
          <w:shd w:val="clear" w:color="auto" w:fill="FFFFFF"/>
        </w:rPr>
        <w:t>”</w:t>
      </w:r>
    </w:p>
    <w:p w14:paraId="3863DF48" w14:textId="77777777" w:rsidR="00CC689F" w:rsidRPr="004C15C0" w:rsidRDefault="00CC689F" w:rsidP="001C2C05">
      <w:pPr>
        <w:spacing w:before="0" w:after="0" w:line="240" w:lineRule="auto"/>
        <w:rPr>
          <w:rFonts w:ascii="Arial" w:hAnsi="Arial" w:cs="Arial"/>
          <w:noProof/>
          <w:color w:val="auto"/>
          <w:sz w:val="24"/>
        </w:rPr>
      </w:pPr>
    </w:p>
    <w:p w14:paraId="2B9A5A7A" w14:textId="7A225211" w:rsidR="001C2C05" w:rsidRPr="004C15C0" w:rsidRDefault="001C2C05" w:rsidP="001C2C05">
      <w:pPr>
        <w:spacing w:before="0" w:after="0" w:line="240" w:lineRule="auto"/>
        <w:rPr>
          <w:rFonts w:ascii="Arial" w:hAnsi="Arial" w:cs="Arial"/>
          <w:noProof/>
          <w:sz w:val="24"/>
        </w:rPr>
      </w:pPr>
      <w:r w:rsidRPr="004C15C0">
        <w:rPr>
          <w:rFonts w:ascii="Arial" w:hAnsi="Arial" w:cs="Arial"/>
          <w:noProof/>
          <w:color w:val="auto"/>
          <w:sz w:val="24"/>
        </w:rPr>
        <w:t xml:space="preserve">Transition to Work providers address participants’ needs through a holistic and personalised </w:t>
      </w:r>
      <w:r w:rsidRPr="004C15C0">
        <w:rPr>
          <w:rFonts w:ascii="Arial" w:hAnsi="Arial" w:cs="Arial"/>
          <w:noProof/>
          <w:sz w:val="24"/>
        </w:rPr>
        <w:t>approach that builds their</w:t>
      </w:r>
      <w:r w:rsidRPr="004C15C0" w:rsidDel="00E47378">
        <w:rPr>
          <w:rFonts w:ascii="Arial" w:hAnsi="Arial" w:cs="Arial"/>
          <w:noProof/>
          <w:sz w:val="24"/>
        </w:rPr>
        <w:t xml:space="preserve"> </w:t>
      </w:r>
      <w:r w:rsidRPr="004C15C0">
        <w:rPr>
          <w:rFonts w:ascii="Arial" w:hAnsi="Arial" w:cs="Arial"/>
          <w:noProof/>
          <w:sz w:val="24"/>
        </w:rPr>
        <w:t xml:space="preserve">human </w:t>
      </w:r>
      <w:r w:rsidRPr="004C15C0" w:rsidDel="00E47378">
        <w:rPr>
          <w:rFonts w:ascii="Arial" w:hAnsi="Arial" w:cs="Arial"/>
          <w:noProof/>
          <w:sz w:val="24"/>
        </w:rPr>
        <w:t>capability</w:t>
      </w:r>
      <w:r w:rsidRPr="004C15C0">
        <w:rPr>
          <w:rFonts w:ascii="Arial" w:hAnsi="Arial" w:cs="Arial"/>
          <w:noProof/>
          <w:sz w:val="24"/>
        </w:rPr>
        <w:t>. The service was designed to ensure providers work alongside disengaged and disadvantaged young people, establishing trust with them and enlisting them as an agent of their own change.</w:t>
      </w:r>
      <w:r w:rsidR="001460C9" w:rsidRPr="004C15C0">
        <w:rPr>
          <w:rStyle w:val="FootnoteReference"/>
          <w:rFonts w:ascii="Arial" w:hAnsi="Arial" w:cs="Arial"/>
          <w:noProof/>
          <w:sz w:val="24"/>
        </w:rPr>
        <w:footnoteReference w:id="9"/>
      </w:r>
    </w:p>
    <w:p w14:paraId="438752F6" w14:textId="318A43E8" w:rsidR="001C2C05" w:rsidRPr="004C15C0" w:rsidRDefault="001C2C05" w:rsidP="001C2C05">
      <w:pPr>
        <w:spacing w:before="0" w:after="0" w:line="240" w:lineRule="auto"/>
        <w:rPr>
          <w:rFonts w:ascii="Arial" w:hAnsi="Arial" w:cs="Arial"/>
          <w:noProof/>
          <w:sz w:val="24"/>
        </w:rPr>
      </w:pPr>
    </w:p>
    <w:p w14:paraId="1FA572AC" w14:textId="76979509" w:rsidR="001C2C05" w:rsidRPr="004C15C0" w:rsidRDefault="005523F0" w:rsidP="001C2C05">
      <w:pPr>
        <w:spacing w:before="0" w:after="0" w:line="240" w:lineRule="auto"/>
        <w:rPr>
          <w:rFonts w:ascii="Arial" w:hAnsi="Arial" w:cs="Arial"/>
          <w:noProof/>
          <w:sz w:val="24"/>
        </w:rPr>
      </w:pPr>
      <w:r w:rsidRPr="004C15C0">
        <w:rPr>
          <w:rFonts w:ascii="Arial" w:hAnsi="Arial" w:cs="Arial"/>
          <w:sz w:val="24"/>
          <w:shd w:val="clear" w:color="auto" w:fill="FFFFFF"/>
          <w:lang w:val="en-US"/>
        </w:rPr>
        <w:t xml:space="preserve">Young people with disability are one of the most disadvantaged groups of young people transitioning from education to employment </w:t>
      </w:r>
      <w:r w:rsidRPr="004C15C0">
        <w:rPr>
          <w:rFonts w:ascii="Arial" w:hAnsi="Arial" w:cs="Arial"/>
          <w:sz w:val="24"/>
          <w:shd w:val="clear" w:color="auto" w:fill="FFFFFF"/>
          <w:lang w:val="en-US"/>
        </w:rPr>
        <w:fldChar w:fldCharType="begin"/>
      </w:r>
      <w:r w:rsidRPr="004C15C0">
        <w:rPr>
          <w:rFonts w:ascii="Arial" w:hAnsi="Arial" w:cs="Arial"/>
          <w:sz w:val="24"/>
          <w:shd w:val="clear" w:color="auto" w:fill="FFFFFF"/>
          <w:lang w:val="en-US"/>
        </w:rPr>
        <w:instrText xml:space="preserve"> ADDIN EN.CITE &lt;EndNote&gt;&lt;Cite&gt;&lt;Author&gt;Winn&lt;/Author&gt;&lt;Year&gt;2009&lt;/Year&gt;&lt;RecNum&gt;1&lt;/RecNum&gt;&lt;DisplayText&gt;(Winn &amp;amp; Hay, 2009)&lt;/DisplayText&gt;&lt;record&gt;&lt;rec-number&gt;1&lt;/rec-number&gt;&lt;foreign-keys&gt;&lt;key app="EN" db-id="fwdatsxvgz9adre2wd9x2sv0xr00zzzvd9fs" timestamp="1575256847"&gt;1&lt;/key&gt;&lt;/foreign-keys&gt;&lt;ref-type name="Journal Article"&gt;17&lt;/ref-type&gt;&lt;contributors&gt;&lt;authors&gt;&lt;author&gt;Winn, Stephen&lt;/author&gt;&lt;author&gt;Hay, Ian&lt;/author&gt;&lt;/authors&gt;&lt;/contributors&gt;&lt;titles&gt;&lt;title&gt;Transition from School for Youths with a Disability: Issues and Challenges&lt;/title&gt;&lt;secondary-title&gt;Disability &amp;amp; Society&lt;/secondary-title&gt;&lt;/titles&gt;&lt;periodical&gt;&lt;full-title&gt;Disability &amp;amp; Society&lt;/full-title&gt;&lt;/periodical&gt;&lt;pages&gt;103-115&lt;/pages&gt;&lt;volume&gt;24&lt;/volume&gt;&lt;number&gt;1&lt;/number&gt;&lt;keywords&gt;&lt;keyword&gt;Disabilities&lt;/keyword&gt;&lt;keyword&gt;Cost Effectiveness&lt;/keyword&gt;&lt;keyword&gt;Secondary School Students&lt;/keyword&gt;&lt;keyword&gt;Career Development&lt;/keyword&gt;&lt;keyword&gt;Transitional Programs&lt;/keyword&gt;&lt;keyword&gt;Youth&lt;/keyword&gt;&lt;keyword&gt;Foreign Countries&lt;/keyword&gt;&lt;keyword&gt;Social Bias&lt;/keyword&gt;&lt;keyword&gt;Social Attitudes&lt;/keyword&gt;&lt;keyword&gt;Labor Force&lt;/keyword&gt;&lt;keyword&gt;Social Services&lt;/keyword&gt;&lt;keyword&gt;Equal Opportunities (Jobs)&lt;/keyword&gt;&lt;keyword&gt;Job Training&lt;/keyword&gt;&lt;keyword&gt;Barriers&lt;/keyword&gt;&lt;keyword&gt;Education Work Relationship&lt;/keyword&gt;&lt;keyword&gt;Vocational Education&lt;/keyword&gt;&lt;keyword&gt;Access To Information&lt;/keyword&gt;&lt;keyword&gt;Special Education&lt;/keyword&gt;&lt;keyword&gt;School Responsibility&lt;/keyword&gt;&lt;keyword&gt;Disability Discrimination&lt;/keyword&gt;&lt;/keywords&gt;&lt;dates&gt;&lt;year&gt;2009&lt;/year&gt;&lt;/dates&gt;&lt;isbn&gt;0968-7599&lt;/isbn&gt;&lt;urls&gt;&lt;/urls&gt;&lt;electronic-resource-num&gt;10.1080/09687590802535725&lt;/electronic-resource-num&gt;&lt;/record&gt;&lt;/Cite&gt;&lt;/EndNote&gt;</w:instrText>
      </w:r>
      <w:r w:rsidRPr="004C15C0">
        <w:rPr>
          <w:rFonts w:ascii="Arial" w:hAnsi="Arial" w:cs="Arial"/>
          <w:sz w:val="24"/>
          <w:shd w:val="clear" w:color="auto" w:fill="FFFFFF"/>
          <w:lang w:val="en-US"/>
        </w:rPr>
        <w:fldChar w:fldCharType="separate"/>
      </w:r>
      <w:r w:rsidRPr="004C15C0">
        <w:rPr>
          <w:rFonts w:ascii="Arial" w:hAnsi="Arial" w:cs="Arial"/>
          <w:noProof/>
          <w:sz w:val="24"/>
          <w:shd w:val="clear" w:color="auto" w:fill="FFFFFF"/>
          <w:lang w:val="en-US"/>
        </w:rPr>
        <w:t>(Winn &amp; Hay, 2009)</w:t>
      </w:r>
      <w:r w:rsidRPr="004C15C0">
        <w:rPr>
          <w:rFonts w:ascii="Arial" w:hAnsi="Arial" w:cs="Arial"/>
          <w:sz w:val="24"/>
          <w:shd w:val="clear" w:color="auto" w:fill="FFFFFF"/>
          <w:lang w:val="en-US"/>
        </w:rPr>
        <w:fldChar w:fldCharType="end"/>
      </w:r>
      <w:r w:rsidR="008B4050" w:rsidRPr="004C15C0">
        <w:rPr>
          <w:rFonts w:ascii="Arial" w:hAnsi="Arial" w:cs="Arial"/>
          <w:sz w:val="24"/>
          <w:shd w:val="clear" w:color="auto" w:fill="FFFFFF"/>
          <w:lang w:val="en-US"/>
        </w:rPr>
        <w:t>.</w:t>
      </w:r>
      <w:r w:rsidR="005364ED" w:rsidRPr="004C15C0">
        <w:rPr>
          <w:rStyle w:val="FootnoteReference"/>
          <w:rFonts w:ascii="Arial" w:hAnsi="Arial" w:cs="Arial"/>
          <w:sz w:val="24"/>
        </w:rPr>
        <w:footnoteReference w:id="10"/>
      </w:r>
      <w:r w:rsidR="008B4050" w:rsidRPr="004C15C0">
        <w:rPr>
          <w:rFonts w:ascii="Arial" w:hAnsi="Arial" w:cs="Arial"/>
          <w:sz w:val="24"/>
          <w:shd w:val="clear" w:color="auto" w:fill="FFFFFF"/>
          <w:lang w:val="en-US"/>
        </w:rPr>
        <w:t xml:space="preserve"> Despite this</w:t>
      </w:r>
      <w:r w:rsidR="00787F78">
        <w:rPr>
          <w:rFonts w:ascii="Arial" w:hAnsi="Arial" w:cs="Arial"/>
          <w:sz w:val="24"/>
          <w:shd w:val="clear" w:color="auto" w:fill="FFFFFF"/>
          <w:lang w:val="en-US"/>
        </w:rPr>
        <w:t>,</w:t>
      </w:r>
      <w:r w:rsidR="008B4050" w:rsidRPr="004C15C0">
        <w:rPr>
          <w:rFonts w:ascii="Arial" w:hAnsi="Arial" w:cs="Arial"/>
          <w:sz w:val="24"/>
          <w:shd w:val="clear" w:color="auto" w:fill="FFFFFF"/>
          <w:lang w:val="en-US"/>
        </w:rPr>
        <w:t xml:space="preserve"> they</w:t>
      </w:r>
      <w:r w:rsidR="005364ED" w:rsidRPr="004C15C0">
        <w:rPr>
          <w:rFonts w:ascii="Arial" w:hAnsi="Arial" w:cs="Arial"/>
          <w:noProof/>
          <w:sz w:val="24"/>
        </w:rPr>
        <w:t xml:space="preserve"> are not a target group of Transition to Work. </w:t>
      </w:r>
    </w:p>
    <w:p w14:paraId="6103B07A" w14:textId="1654F9F1" w:rsidR="008261CA" w:rsidRPr="005364ED" w:rsidRDefault="005364ED" w:rsidP="005364ED">
      <w:pPr>
        <w:pStyle w:val="ListBullet"/>
        <w:numPr>
          <w:ilvl w:val="0"/>
          <w:numId w:val="0"/>
        </w:numPr>
        <w:spacing w:before="120"/>
        <w:rPr>
          <w:rFonts w:cs="Arial"/>
        </w:rPr>
      </w:pPr>
      <w:r w:rsidRPr="004C15C0">
        <w:rPr>
          <w:rFonts w:cs="Arial"/>
        </w:rPr>
        <w:t>Y</w:t>
      </w:r>
      <w:r w:rsidR="008261CA" w:rsidRPr="004C15C0">
        <w:rPr>
          <w:rFonts w:cs="Arial"/>
        </w:rPr>
        <w:t xml:space="preserve">oung people with a disability make up </w:t>
      </w:r>
      <w:r w:rsidR="00774E65" w:rsidRPr="004C15C0">
        <w:rPr>
          <w:rFonts w:cs="Arial"/>
        </w:rPr>
        <w:t>1 in 10</w:t>
      </w:r>
      <w:r w:rsidR="008261CA" w:rsidRPr="004C15C0">
        <w:rPr>
          <w:rFonts w:cs="Arial"/>
        </w:rPr>
        <w:t xml:space="preserve"> of </w:t>
      </w:r>
      <w:r w:rsidR="005523F0" w:rsidRPr="004C15C0">
        <w:rPr>
          <w:rFonts w:cs="Arial"/>
        </w:rPr>
        <w:t xml:space="preserve">the </w:t>
      </w:r>
      <w:r w:rsidR="008E0192" w:rsidRPr="004C15C0">
        <w:rPr>
          <w:rFonts w:cs="Arial"/>
        </w:rPr>
        <w:t>15–24 year</w:t>
      </w:r>
      <w:r w:rsidR="00436767" w:rsidRPr="004C15C0">
        <w:rPr>
          <w:rFonts w:cs="Arial"/>
        </w:rPr>
        <w:t xml:space="preserve"> age group</w:t>
      </w:r>
      <w:r w:rsidR="008261CA" w:rsidRPr="004C15C0">
        <w:rPr>
          <w:rFonts w:cs="Arial"/>
        </w:rPr>
        <w:t xml:space="preserve"> </w:t>
      </w:r>
      <w:r w:rsidR="00D75926" w:rsidRPr="004C15C0">
        <w:rPr>
          <w:rStyle w:val="FootnoteReference"/>
          <w:rFonts w:cs="Arial"/>
        </w:rPr>
        <w:footnoteReference w:id="11"/>
      </w:r>
      <w:r w:rsidR="00D75926" w:rsidRPr="004C15C0">
        <w:rPr>
          <w:rFonts w:cs="Arial"/>
        </w:rPr>
        <w:t xml:space="preserve"> </w:t>
      </w:r>
      <w:r w:rsidR="001C2C05" w:rsidRPr="004C15C0">
        <w:rPr>
          <w:rFonts w:cs="Arial"/>
        </w:rPr>
        <w:t xml:space="preserve">yet </w:t>
      </w:r>
      <w:r w:rsidR="00D75926" w:rsidRPr="004C15C0">
        <w:rPr>
          <w:rFonts w:cs="Arial"/>
        </w:rPr>
        <w:t xml:space="preserve">representation in </w:t>
      </w:r>
      <w:r w:rsidR="008261CA" w:rsidRPr="004C15C0">
        <w:rPr>
          <w:rFonts w:cs="Arial"/>
        </w:rPr>
        <w:t>T</w:t>
      </w:r>
      <w:r w:rsidR="001C2C05" w:rsidRPr="004C15C0">
        <w:rPr>
          <w:rFonts w:cs="Arial"/>
        </w:rPr>
        <w:t xml:space="preserve">ransition to Work </w:t>
      </w:r>
      <w:r w:rsidR="008261CA" w:rsidRPr="004C15C0">
        <w:rPr>
          <w:rFonts w:cs="Arial"/>
        </w:rPr>
        <w:t xml:space="preserve">inflow population </w:t>
      </w:r>
      <w:r w:rsidR="00D75926" w:rsidRPr="004C15C0">
        <w:rPr>
          <w:rFonts w:cs="Arial"/>
        </w:rPr>
        <w:t>is</w:t>
      </w:r>
      <w:r w:rsidR="008261CA" w:rsidRPr="004C15C0">
        <w:rPr>
          <w:rFonts w:cs="Arial"/>
        </w:rPr>
        <w:t xml:space="preserve"> </w:t>
      </w:r>
      <w:r w:rsidR="008F114E" w:rsidRPr="004C15C0">
        <w:rPr>
          <w:rFonts w:cs="Arial"/>
        </w:rPr>
        <w:t xml:space="preserve">only </w:t>
      </w:r>
      <w:r w:rsidR="008261CA" w:rsidRPr="004C15C0">
        <w:rPr>
          <w:rFonts w:cs="Arial"/>
        </w:rPr>
        <w:t>5%.</w:t>
      </w:r>
      <w:r w:rsidR="00AE1756">
        <w:rPr>
          <w:rFonts w:cs="Arial"/>
        </w:rPr>
        <w:t xml:space="preserve"> </w:t>
      </w:r>
      <w:r w:rsidR="008261CA" w:rsidRPr="004C15C0">
        <w:rPr>
          <w:rFonts w:cs="Arial"/>
        </w:rPr>
        <w:t xml:space="preserve">Many young people with disability are directed </w:t>
      </w:r>
      <w:r w:rsidR="00436767" w:rsidRPr="004C15C0">
        <w:rPr>
          <w:rFonts w:cs="Arial"/>
        </w:rPr>
        <w:t>away from Transition to Work</w:t>
      </w:r>
      <w:r w:rsidR="008261CA" w:rsidRPr="004C15C0">
        <w:rPr>
          <w:rFonts w:cs="Arial"/>
        </w:rPr>
        <w:t>.</w:t>
      </w:r>
      <w:r w:rsidR="00596A59" w:rsidRPr="004C15C0">
        <w:rPr>
          <w:rStyle w:val="FootnoteReference"/>
          <w:rFonts w:cs="Arial"/>
        </w:rPr>
        <w:footnoteReference w:id="12"/>
      </w:r>
      <w:r w:rsidR="008E0192" w:rsidRPr="004C15C0">
        <w:rPr>
          <w:rFonts w:cs="Arial"/>
          <w:lang w:val="en-US"/>
        </w:rPr>
        <w:t xml:space="preserve"> </w:t>
      </w:r>
    </w:p>
    <w:p w14:paraId="0C52EEB0" w14:textId="77777777" w:rsidR="005523F0" w:rsidRDefault="005523F0" w:rsidP="00436767">
      <w:pPr>
        <w:spacing w:before="0" w:after="0" w:line="240" w:lineRule="auto"/>
        <w:rPr>
          <w:rFonts w:ascii="Arial" w:hAnsi="Arial" w:cs="Arial"/>
          <w:sz w:val="24"/>
        </w:rPr>
      </w:pPr>
    </w:p>
    <w:p w14:paraId="35D6CFE1" w14:textId="757D7DC4" w:rsidR="00436767" w:rsidRPr="008F114E" w:rsidRDefault="008261CA" w:rsidP="00436767">
      <w:pPr>
        <w:spacing w:before="0" w:after="0" w:line="240" w:lineRule="auto"/>
        <w:rPr>
          <w:rFonts w:ascii="Arial" w:hAnsi="Arial" w:cs="Arial"/>
          <w:color w:val="auto"/>
          <w:sz w:val="24"/>
          <w:shd w:val="clear" w:color="auto" w:fill="FFFFFF"/>
        </w:rPr>
      </w:pPr>
      <w:r w:rsidRPr="00130150">
        <w:rPr>
          <w:rFonts w:ascii="Arial" w:hAnsi="Arial" w:cs="Arial"/>
          <w:sz w:val="24"/>
        </w:rPr>
        <w:t xml:space="preserve">Young people </w:t>
      </w:r>
      <w:r w:rsidRPr="008F114E">
        <w:rPr>
          <w:rFonts w:ascii="Arial" w:hAnsi="Arial" w:cs="Arial"/>
          <w:sz w:val="24"/>
        </w:rPr>
        <w:t xml:space="preserve">are directed to </w:t>
      </w:r>
      <w:r w:rsidR="005364ED" w:rsidRPr="008F114E">
        <w:rPr>
          <w:rFonts w:ascii="Arial" w:hAnsi="Arial" w:cs="Arial"/>
          <w:sz w:val="24"/>
        </w:rPr>
        <w:t>Disability</w:t>
      </w:r>
      <w:r w:rsidRPr="008F114E">
        <w:rPr>
          <w:rFonts w:ascii="Arial" w:hAnsi="Arial" w:cs="Arial"/>
          <w:sz w:val="24"/>
        </w:rPr>
        <w:t xml:space="preserve"> </w:t>
      </w:r>
      <w:r w:rsidR="00436767" w:rsidRPr="008F114E">
        <w:rPr>
          <w:rFonts w:ascii="Arial" w:hAnsi="Arial" w:cs="Arial"/>
          <w:sz w:val="24"/>
        </w:rPr>
        <w:t>E</w:t>
      </w:r>
      <w:r w:rsidRPr="008F114E">
        <w:rPr>
          <w:rFonts w:ascii="Arial" w:hAnsi="Arial" w:cs="Arial"/>
          <w:sz w:val="24"/>
        </w:rPr>
        <w:t xml:space="preserve">mployment </w:t>
      </w:r>
      <w:r w:rsidR="00436767" w:rsidRPr="008F114E">
        <w:rPr>
          <w:rFonts w:ascii="Arial" w:hAnsi="Arial" w:cs="Arial"/>
          <w:sz w:val="24"/>
        </w:rPr>
        <w:t>S</w:t>
      </w:r>
      <w:r w:rsidRPr="008F114E">
        <w:rPr>
          <w:rFonts w:ascii="Arial" w:hAnsi="Arial" w:cs="Arial"/>
          <w:sz w:val="24"/>
        </w:rPr>
        <w:t>ervice</w:t>
      </w:r>
      <w:r w:rsidR="00436767" w:rsidRPr="008F114E">
        <w:rPr>
          <w:rFonts w:ascii="Arial" w:hAnsi="Arial" w:cs="Arial"/>
          <w:sz w:val="24"/>
        </w:rPr>
        <w:t xml:space="preserve"> (DES)</w:t>
      </w:r>
      <w:r w:rsidR="008B4050" w:rsidRPr="008F114E">
        <w:rPr>
          <w:rFonts w:ascii="Arial" w:hAnsi="Arial" w:cs="Arial"/>
          <w:sz w:val="24"/>
        </w:rPr>
        <w:t xml:space="preserve"> rather than Transition to Work</w:t>
      </w:r>
      <w:r w:rsidRPr="008F114E">
        <w:rPr>
          <w:rFonts w:ascii="Arial" w:hAnsi="Arial" w:cs="Arial"/>
          <w:sz w:val="24"/>
        </w:rPr>
        <w:t xml:space="preserve">. DES is a </w:t>
      </w:r>
      <w:r w:rsidR="005364ED" w:rsidRPr="008F114E">
        <w:rPr>
          <w:rFonts w:ascii="Arial" w:hAnsi="Arial" w:cs="Arial"/>
          <w:sz w:val="24"/>
        </w:rPr>
        <w:t>compliance-based</w:t>
      </w:r>
      <w:r w:rsidRPr="008F114E">
        <w:rPr>
          <w:rFonts w:ascii="Arial" w:hAnsi="Arial" w:cs="Arial"/>
          <w:sz w:val="24"/>
        </w:rPr>
        <w:t xml:space="preserve"> job placement service. It does not currently </w:t>
      </w:r>
      <w:r w:rsidRPr="004C15C0">
        <w:rPr>
          <w:rFonts w:ascii="Arial" w:hAnsi="Arial" w:cs="Arial"/>
          <w:sz w:val="24"/>
        </w:rPr>
        <w:t>have youth specific interventions</w:t>
      </w:r>
      <w:r w:rsidR="008B4050" w:rsidRPr="004C15C0">
        <w:rPr>
          <w:rFonts w:ascii="Arial" w:hAnsi="Arial" w:cs="Arial"/>
          <w:sz w:val="24"/>
        </w:rPr>
        <w:t>.</w:t>
      </w:r>
      <w:r w:rsidRPr="004C15C0">
        <w:rPr>
          <w:rFonts w:ascii="Arial" w:hAnsi="Arial" w:cs="Arial"/>
          <w:sz w:val="24"/>
        </w:rPr>
        <w:t xml:space="preserve"> </w:t>
      </w:r>
      <w:r w:rsidR="008B4050" w:rsidRPr="004C15C0">
        <w:rPr>
          <w:rFonts w:ascii="Arial" w:hAnsi="Arial" w:cs="Arial"/>
          <w:sz w:val="24"/>
        </w:rPr>
        <w:t>I</w:t>
      </w:r>
      <w:r w:rsidRPr="004C15C0">
        <w:rPr>
          <w:rFonts w:ascii="Arial" w:hAnsi="Arial" w:cs="Arial"/>
          <w:sz w:val="24"/>
        </w:rPr>
        <w:t xml:space="preserve">t does not provide </w:t>
      </w:r>
      <w:r w:rsidR="00436767" w:rsidRPr="004C15C0">
        <w:rPr>
          <w:rFonts w:ascii="Arial" w:hAnsi="Arial" w:cs="Arial"/>
          <w:sz w:val="24"/>
        </w:rPr>
        <w:t>‘</w:t>
      </w:r>
      <w:r w:rsidR="00436767" w:rsidRPr="004C15C0">
        <w:rPr>
          <w:rFonts w:ascii="Arial" w:hAnsi="Arial" w:cs="Arial"/>
          <w:color w:val="auto"/>
          <w:sz w:val="24"/>
          <w:shd w:val="clear" w:color="auto" w:fill="FFFFFF"/>
        </w:rPr>
        <w:t>intensive pre-employment support’ to help them achieve their employment and education goals.</w:t>
      </w:r>
      <w:r w:rsidR="008F114E" w:rsidRPr="004C15C0">
        <w:rPr>
          <w:rFonts w:ascii="Arial" w:hAnsi="Arial" w:cs="Arial"/>
          <w:sz w:val="24"/>
          <w:lang w:val="en-US"/>
        </w:rPr>
        <w:t xml:space="preserve"> Participants under 25 make up 13.3% of the DES population.</w:t>
      </w:r>
    </w:p>
    <w:p w14:paraId="5B5C9ED6" w14:textId="0B4655C8" w:rsidR="00436767" w:rsidRDefault="00436767" w:rsidP="00436767">
      <w:pPr>
        <w:spacing w:before="0" w:after="0" w:line="240" w:lineRule="auto"/>
        <w:rPr>
          <w:rFonts w:ascii="Arial" w:hAnsi="Arial" w:cs="Arial"/>
          <w:color w:val="auto"/>
          <w:sz w:val="24"/>
          <w:shd w:val="clear" w:color="auto" w:fill="FFFFFF"/>
        </w:rPr>
      </w:pPr>
    </w:p>
    <w:p w14:paraId="24558B8F" w14:textId="29924724" w:rsidR="00436767" w:rsidRDefault="00436767" w:rsidP="00436767">
      <w:pPr>
        <w:spacing w:before="0" w:after="0" w:line="240" w:lineRule="auto"/>
        <w:rPr>
          <w:rFonts w:ascii="Arial" w:hAnsi="Arial" w:cs="Arial"/>
          <w:color w:val="auto"/>
          <w:sz w:val="24"/>
          <w:shd w:val="clear" w:color="auto" w:fill="FFFFFF"/>
        </w:rPr>
      </w:pPr>
      <w:r>
        <w:rPr>
          <w:rFonts w:ascii="Arial" w:hAnsi="Arial" w:cs="Arial"/>
          <w:color w:val="auto"/>
          <w:sz w:val="24"/>
          <w:shd w:val="clear" w:color="auto" w:fill="FFFFFF"/>
        </w:rPr>
        <w:t xml:space="preserve">The </w:t>
      </w:r>
      <w:r w:rsidR="0086013A">
        <w:rPr>
          <w:rFonts w:ascii="Arial" w:hAnsi="Arial" w:cs="Arial"/>
          <w:color w:val="auto"/>
          <w:sz w:val="24"/>
          <w:shd w:val="clear" w:color="auto" w:fill="FFFFFF"/>
        </w:rPr>
        <w:t xml:space="preserve">DES </w:t>
      </w:r>
      <w:r>
        <w:rPr>
          <w:rFonts w:ascii="Arial" w:hAnsi="Arial" w:cs="Arial"/>
          <w:color w:val="auto"/>
          <w:sz w:val="24"/>
          <w:shd w:val="clear" w:color="auto" w:fill="FFFFFF"/>
        </w:rPr>
        <w:t xml:space="preserve">risk adjusted funding </w:t>
      </w:r>
      <w:r w:rsidR="0086013A">
        <w:rPr>
          <w:rFonts w:ascii="Arial" w:hAnsi="Arial" w:cs="Arial"/>
          <w:color w:val="auto"/>
          <w:sz w:val="24"/>
          <w:shd w:val="clear" w:color="auto" w:fill="FFFFFF"/>
        </w:rPr>
        <w:t>mechanism</w:t>
      </w:r>
      <w:r w:rsidR="008B4050">
        <w:rPr>
          <w:rFonts w:ascii="Arial" w:hAnsi="Arial" w:cs="Arial"/>
          <w:color w:val="auto"/>
          <w:sz w:val="24"/>
          <w:shd w:val="clear" w:color="auto" w:fill="FFFFFF"/>
        </w:rPr>
        <w:t>,</w:t>
      </w:r>
      <w:r w:rsidR="0086013A">
        <w:rPr>
          <w:rFonts w:ascii="Arial" w:hAnsi="Arial" w:cs="Arial"/>
          <w:color w:val="auto"/>
          <w:sz w:val="24"/>
          <w:shd w:val="clear" w:color="auto" w:fill="FFFFFF"/>
        </w:rPr>
        <w:t xml:space="preserve"> </w:t>
      </w:r>
      <w:r>
        <w:rPr>
          <w:rFonts w:ascii="Arial" w:hAnsi="Arial" w:cs="Arial"/>
          <w:color w:val="auto"/>
          <w:sz w:val="24"/>
          <w:shd w:val="clear" w:color="auto" w:fill="FFFFFF"/>
        </w:rPr>
        <w:t>implemented in 2018</w:t>
      </w:r>
      <w:r w:rsidR="008B4050">
        <w:rPr>
          <w:rFonts w:ascii="Arial" w:hAnsi="Arial" w:cs="Arial"/>
          <w:color w:val="auto"/>
          <w:sz w:val="24"/>
          <w:shd w:val="clear" w:color="auto" w:fill="FFFFFF"/>
        </w:rPr>
        <w:t>,</w:t>
      </w:r>
      <w:r>
        <w:rPr>
          <w:rFonts w:ascii="Arial" w:hAnsi="Arial" w:cs="Arial"/>
          <w:color w:val="auto"/>
          <w:sz w:val="24"/>
          <w:shd w:val="clear" w:color="auto" w:fill="FFFFFF"/>
        </w:rPr>
        <w:t xml:space="preserve"> </w:t>
      </w:r>
      <w:r w:rsidR="008B4050">
        <w:rPr>
          <w:rFonts w:ascii="Arial" w:hAnsi="Arial" w:cs="Arial"/>
          <w:color w:val="auto"/>
          <w:sz w:val="24"/>
          <w:shd w:val="clear" w:color="auto" w:fill="FFFFFF"/>
        </w:rPr>
        <w:t xml:space="preserve">had the effect of </w:t>
      </w:r>
      <w:r w:rsidR="0086013A">
        <w:rPr>
          <w:rFonts w:ascii="Arial" w:hAnsi="Arial" w:cs="Arial"/>
          <w:color w:val="auto"/>
          <w:sz w:val="24"/>
          <w:shd w:val="clear" w:color="auto" w:fill="FFFFFF"/>
        </w:rPr>
        <w:t>reduc</w:t>
      </w:r>
      <w:r w:rsidR="008B4050">
        <w:rPr>
          <w:rFonts w:ascii="Arial" w:hAnsi="Arial" w:cs="Arial"/>
          <w:color w:val="auto"/>
          <w:sz w:val="24"/>
          <w:shd w:val="clear" w:color="auto" w:fill="FFFFFF"/>
        </w:rPr>
        <w:t>ing</w:t>
      </w:r>
      <w:r w:rsidR="0086013A">
        <w:rPr>
          <w:rFonts w:ascii="Arial" w:hAnsi="Arial" w:cs="Arial"/>
          <w:color w:val="auto"/>
          <w:sz w:val="24"/>
          <w:shd w:val="clear" w:color="auto" w:fill="FFFFFF"/>
        </w:rPr>
        <w:t xml:space="preserve"> funding for young people with disability</w:t>
      </w:r>
      <w:r w:rsidR="005523F0">
        <w:rPr>
          <w:rFonts w:ascii="Arial" w:hAnsi="Arial" w:cs="Arial"/>
          <w:color w:val="auto"/>
          <w:sz w:val="24"/>
          <w:shd w:val="clear" w:color="auto" w:fill="FFFFFF"/>
        </w:rPr>
        <w:t xml:space="preserve">. </w:t>
      </w:r>
      <w:r w:rsidR="00820E6E">
        <w:rPr>
          <w:rFonts w:ascii="Arial" w:hAnsi="Arial" w:cs="Arial"/>
          <w:color w:val="auto"/>
          <w:sz w:val="24"/>
          <w:shd w:val="clear" w:color="auto" w:fill="FFFFFF"/>
        </w:rPr>
        <w:t>Generally</w:t>
      </w:r>
      <w:r w:rsidR="008A3609">
        <w:rPr>
          <w:rFonts w:ascii="Arial" w:hAnsi="Arial" w:cs="Arial"/>
          <w:color w:val="auto"/>
          <w:sz w:val="24"/>
          <w:shd w:val="clear" w:color="auto" w:fill="FFFFFF"/>
        </w:rPr>
        <w:t xml:space="preserve"> </w:t>
      </w:r>
      <w:r w:rsidR="005523F0">
        <w:rPr>
          <w:rFonts w:ascii="Arial" w:hAnsi="Arial" w:cs="Arial"/>
          <w:color w:val="auto"/>
          <w:sz w:val="24"/>
          <w:shd w:val="clear" w:color="auto" w:fill="FFFFFF"/>
        </w:rPr>
        <w:t>in DES</w:t>
      </w:r>
      <w:r w:rsidR="008A3609">
        <w:rPr>
          <w:rFonts w:ascii="Arial" w:hAnsi="Arial" w:cs="Arial"/>
          <w:color w:val="auto"/>
          <w:sz w:val="24"/>
          <w:shd w:val="clear" w:color="auto" w:fill="FFFFFF"/>
        </w:rPr>
        <w:t>,</w:t>
      </w:r>
      <w:r w:rsidR="005523F0">
        <w:rPr>
          <w:rFonts w:ascii="Arial" w:hAnsi="Arial" w:cs="Arial"/>
          <w:color w:val="auto"/>
          <w:sz w:val="24"/>
          <w:shd w:val="clear" w:color="auto" w:fill="FFFFFF"/>
        </w:rPr>
        <w:t xml:space="preserve"> young people are allocated </w:t>
      </w:r>
      <w:r w:rsidR="0086013A">
        <w:rPr>
          <w:rFonts w:ascii="Arial" w:hAnsi="Arial" w:cs="Arial"/>
          <w:color w:val="auto"/>
          <w:sz w:val="24"/>
          <w:shd w:val="clear" w:color="auto" w:fill="FFFFFF"/>
        </w:rPr>
        <w:t xml:space="preserve">less </w:t>
      </w:r>
      <w:r w:rsidR="005523F0">
        <w:rPr>
          <w:rFonts w:ascii="Arial" w:hAnsi="Arial" w:cs="Arial"/>
          <w:color w:val="auto"/>
          <w:sz w:val="24"/>
          <w:shd w:val="clear" w:color="auto" w:fill="FFFFFF"/>
        </w:rPr>
        <w:t xml:space="preserve">funding </w:t>
      </w:r>
      <w:r w:rsidR="0086013A">
        <w:rPr>
          <w:rFonts w:ascii="Arial" w:hAnsi="Arial" w:cs="Arial"/>
          <w:color w:val="auto"/>
          <w:sz w:val="24"/>
          <w:shd w:val="clear" w:color="auto" w:fill="FFFFFF"/>
        </w:rPr>
        <w:t>tha</w:t>
      </w:r>
      <w:r w:rsidR="008B4050">
        <w:rPr>
          <w:rFonts w:ascii="Arial" w:hAnsi="Arial" w:cs="Arial"/>
          <w:color w:val="auto"/>
          <w:sz w:val="24"/>
          <w:shd w:val="clear" w:color="auto" w:fill="FFFFFF"/>
        </w:rPr>
        <w:t>n would be the case with</w:t>
      </w:r>
      <w:r w:rsidR="0086013A">
        <w:rPr>
          <w:rFonts w:ascii="Arial" w:hAnsi="Arial" w:cs="Arial"/>
          <w:color w:val="auto"/>
          <w:sz w:val="24"/>
          <w:shd w:val="clear" w:color="auto" w:fill="FFFFFF"/>
        </w:rPr>
        <w:t xml:space="preserve"> </w:t>
      </w:r>
      <w:r w:rsidR="00C16D83">
        <w:rPr>
          <w:rFonts w:ascii="Arial" w:hAnsi="Arial" w:cs="Arial"/>
          <w:color w:val="auto"/>
          <w:sz w:val="24"/>
          <w:shd w:val="clear" w:color="auto" w:fill="FFFFFF"/>
        </w:rPr>
        <w:t>Transition</w:t>
      </w:r>
      <w:r w:rsidR="0086013A">
        <w:rPr>
          <w:rFonts w:ascii="Arial" w:hAnsi="Arial" w:cs="Arial"/>
          <w:color w:val="auto"/>
          <w:sz w:val="24"/>
          <w:shd w:val="clear" w:color="auto" w:fill="FFFFFF"/>
        </w:rPr>
        <w:t xml:space="preserve"> to </w:t>
      </w:r>
      <w:r w:rsidR="005523F0">
        <w:rPr>
          <w:rFonts w:ascii="Arial" w:hAnsi="Arial" w:cs="Arial"/>
          <w:color w:val="auto"/>
          <w:sz w:val="24"/>
          <w:shd w:val="clear" w:color="auto" w:fill="FFFFFF"/>
        </w:rPr>
        <w:t>W</w:t>
      </w:r>
      <w:r w:rsidR="0086013A">
        <w:rPr>
          <w:rFonts w:ascii="Arial" w:hAnsi="Arial" w:cs="Arial"/>
          <w:color w:val="auto"/>
          <w:sz w:val="24"/>
          <w:shd w:val="clear" w:color="auto" w:fill="FFFFFF"/>
        </w:rPr>
        <w:t>ork providers</w:t>
      </w:r>
      <w:r w:rsidR="008B4050">
        <w:rPr>
          <w:rFonts w:ascii="Arial" w:hAnsi="Arial" w:cs="Arial"/>
          <w:color w:val="auto"/>
          <w:sz w:val="24"/>
          <w:shd w:val="clear" w:color="auto" w:fill="FFFFFF"/>
        </w:rPr>
        <w:t>.</w:t>
      </w:r>
      <w:r w:rsidR="0086013A">
        <w:rPr>
          <w:rFonts w:ascii="Arial" w:hAnsi="Arial" w:cs="Arial"/>
          <w:color w:val="auto"/>
          <w:sz w:val="24"/>
          <w:shd w:val="clear" w:color="auto" w:fill="FFFFFF"/>
        </w:rPr>
        <w:t xml:space="preserve"> </w:t>
      </w:r>
      <w:r>
        <w:rPr>
          <w:rFonts w:ascii="Arial" w:hAnsi="Arial" w:cs="Arial"/>
          <w:color w:val="auto"/>
          <w:sz w:val="24"/>
          <w:shd w:val="clear" w:color="auto" w:fill="FFFFFF"/>
        </w:rPr>
        <w:t xml:space="preserve"> </w:t>
      </w:r>
    </w:p>
    <w:p w14:paraId="2923992B" w14:textId="07A41DA4" w:rsidR="009B6CE8" w:rsidRDefault="009B6CE8" w:rsidP="00436767">
      <w:pPr>
        <w:spacing w:before="0" w:after="0" w:line="240" w:lineRule="auto"/>
        <w:rPr>
          <w:rFonts w:ascii="Arial" w:hAnsi="Arial" w:cs="Arial"/>
          <w:color w:val="auto"/>
          <w:sz w:val="24"/>
          <w:shd w:val="clear" w:color="auto" w:fill="FFFFFF"/>
        </w:rPr>
      </w:pPr>
    </w:p>
    <w:p w14:paraId="2CDFDB60" w14:textId="56805B3D" w:rsidR="008E0192" w:rsidRPr="004C15C0" w:rsidRDefault="009B6CE8" w:rsidP="0086013A">
      <w:pPr>
        <w:spacing w:before="0" w:after="0" w:line="240" w:lineRule="auto"/>
        <w:rPr>
          <w:rFonts w:ascii="Arial" w:hAnsi="Arial" w:cs="Arial"/>
          <w:sz w:val="24"/>
        </w:rPr>
      </w:pPr>
      <w:r w:rsidRPr="004C15C0">
        <w:rPr>
          <w:rFonts w:ascii="Arial" w:hAnsi="Arial" w:cs="Arial"/>
          <w:sz w:val="24"/>
        </w:rPr>
        <w:lastRenderedPageBreak/>
        <w:t>T</w:t>
      </w:r>
      <w:r w:rsidR="008E0192" w:rsidRPr="004C15C0">
        <w:rPr>
          <w:rFonts w:ascii="Arial" w:hAnsi="Arial" w:cs="Arial"/>
          <w:sz w:val="24"/>
        </w:rPr>
        <w:t>he DES mid</w:t>
      </w:r>
      <w:r w:rsidRPr="004C15C0">
        <w:rPr>
          <w:rFonts w:ascii="Arial" w:hAnsi="Arial" w:cs="Arial"/>
          <w:sz w:val="24"/>
        </w:rPr>
        <w:t>-</w:t>
      </w:r>
      <w:r w:rsidR="008E0192" w:rsidRPr="004C15C0">
        <w:rPr>
          <w:rFonts w:ascii="Arial" w:hAnsi="Arial" w:cs="Arial"/>
          <w:sz w:val="24"/>
        </w:rPr>
        <w:t xml:space="preserve">term review </w:t>
      </w:r>
      <w:r w:rsidRPr="004C15C0">
        <w:rPr>
          <w:rFonts w:ascii="Arial" w:hAnsi="Arial" w:cs="Arial"/>
          <w:sz w:val="24"/>
        </w:rPr>
        <w:t xml:space="preserve">recommended that </w:t>
      </w:r>
      <w:r w:rsidR="008E0192" w:rsidRPr="004C15C0">
        <w:rPr>
          <w:rFonts w:ascii="Arial" w:hAnsi="Arial" w:cs="Arial"/>
          <w:sz w:val="24"/>
        </w:rPr>
        <w:t>more proactive support for young people</w:t>
      </w:r>
      <w:r w:rsidR="008A3609">
        <w:rPr>
          <w:rFonts w:ascii="Arial" w:hAnsi="Arial" w:cs="Arial"/>
          <w:sz w:val="24"/>
        </w:rPr>
        <w:t>,</w:t>
      </w:r>
      <w:r w:rsidR="008E0192" w:rsidRPr="004C15C0">
        <w:rPr>
          <w:rFonts w:ascii="Arial" w:hAnsi="Arial" w:cs="Arial"/>
          <w:sz w:val="24"/>
        </w:rPr>
        <w:t xml:space="preserve"> </w:t>
      </w:r>
      <w:r w:rsidRPr="004C15C0">
        <w:rPr>
          <w:rFonts w:ascii="Arial" w:hAnsi="Arial" w:cs="Arial"/>
          <w:sz w:val="24"/>
        </w:rPr>
        <w:t>noting that</w:t>
      </w:r>
      <w:r w:rsidR="008E0192" w:rsidRPr="004C15C0">
        <w:rPr>
          <w:rFonts w:ascii="Arial" w:hAnsi="Arial" w:cs="Arial"/>
          <w:sz w:val="24"/>
        </w:rPr>
        <w:t xml:space="preserve"> early intervention can reduce risk of long-term unemployment and reliance on income support.</w:t>
      </w:r>
      <w:r w:rsidR="008E0192" w:rsidRPr="004C15C0">
        <w:rPr>
          <w:rStyle w:val="FootnoteReference"/>
          <w:rFonts w:ascii="Arial" w:hAnsi="Arial" w:cs="Arial"/>
          <w:sz w:val="24"/>
        </w:rPr>
        <w:footnoteReference w:id="13"/>
      </w:r>
      <w:r w:rsidR="008E0192" w:rsidRPr="004C15C0">
        <w:rPr>
          <w:rFonts w:ascii="Arial" w:hAnsi="Arial" w:cs="Arial"/>
          <w:sz w:val="24"/>
        </w:rPr>
        <w:t xml:space="preserve"> It </w:t>
      </w:r>
      <w:r w:rsidR="00436767" w:rsidRPr="004C15C0">
        <w:rPr>
          <w:rFonts w:ascii="Arial" w:hAnsi="Arial" w:cs="Arial"/>
          <w:color w:val="auto"/>
          <w:sz w:val="24"/>
          <w:shd w:val="clear" w:color="auto" w:fill="FFFFFF"/>
        </w:rPr>
        <w:t>found</w:t>
      </w:r>
      <w:r w:rsidR="00CC689F" w:rsidRPr="004C15C0">
        <w:rPr>
          <w:rFonts w:ascii="Arial" w:hAnsi="Arial" w:cs="Arial"/>
          <w:sz w:val="24"/>
        </w:rPr>
        <w:t xml:space="preserve"> providers lack specialist skills and</w:t>
      </w:r>
      <w:r w:rsidRPr="004C15C0">
        <w:rPr>
          <w:rFonts w:ascii="Arial" w:hAnsi="Arial" w:cs="Arial"/>
          <w:sz w:val="24"/>
        </w:rPr>
        <w:t xml:space="preserve"> that</w:t>
      </w:r>
      <w:r w:rsidR="00CC689F" w:rsidRPr="004C15C0">
        <w:rPr>
          <w:rFonts w:ascii="Arial" w:hAnsi="Arial" w:cs="Arial"/>
          <w:sz w:val="24"/>
        </w:rPr>
        <w:t xml:space="preserve"> </w:t>
      </w:r>
      <w:r w:rsidR="008E0192" w:rsidRPr="004C15C0">
        <w:rPr>
          <w:rFonts w:ascii="Arial" w:hAnsi="Arial" w:cs="Arial"/>
          <w:sz w:val="24"/>
        </w:rPr>
        <w:t>DES</w:t>
      </w:r>
      <w:r w:rsidRPr="004C15C0">
        <w:rPr>
          <w:rFonts w:ascii="Arial" w:hAnsi="Arial" w:cs="Arial"/>
          <w:sz w:val="24"/>
        </w:rPr>
        <w:t xml:space="preserve"> program</w:t>
      </w:r>
      <w:r w:rsidR="008E0192" w:rsidRPr="004C15C0">
        <w:rPr>
          <w:rFonts w:ascii="Arial" w:hAnsi="Arial" w:cs="Arial"/>
          <w:sz w:val="24"/>
        </w:rPr>
        <w:t xml:space="preserve"> design restricted </w:t>
      </w:r>
      <w:r w:rsidRPr="004C15C0">
        <w:rPr>
          <w:rFonts w:ascii="Arial" w:hAnsi="Arial" w:cs="Arial"/>
          <w:sz w:val="24"/>
        </w:rPr>
        <w:t xml:space="preserve">the </w:t>
      </w:r>
      <w:r w:rsidR="008E0192" w:rsidRPr="004C15C0">
        <w:rPr>
          <w:rFonts w:ascii="Arial" w:hAnsi="Arial" w:cs="Arial"/>
          <w:sz w:val="24"/>
        </w:rPr>
        <w:t xml:space="preserve">ability of providers </w:t>
      </w:r>
      <w:r w:rsidR="00CC689F" w:rsidRPr="004C15C0">
        <w:rPr>
          <w:rFonts w:ascii="Arial" w:hAnsi="Arial" w:cs="Arial"/>
          <w:sz w:val="24"/>
        </w:rPr>
        <w:t xml:space="preserve">to </w:t>
      </w:r>
      <w:r w:rsidR="008E0192" w:rsidRPr="004C15C0">
        <w:rPr>
          <w:rFonts w:ascii="Arial" w:hAnsi="Arial" w:cs="Arial"/>
          <w:sz w:val="24"/>
        </w:rPr>
        <w:t xml:space="preserve">address the </w:t>
      </w:r>
      <w:r w:rsidR="00CC689F" w:rsidRPr="004C15C0">
        <w:rPr>
          <w:rFonts w:ascii="Arial" w:hAnsi="Arial" w:cs="Arial"/>
          <w:sz w:val="24"/>
        </w:rPr>
        <w:t>specific needs of individual participants</w:t>
      </w:r>
      <w:r w:rsidR="008E0192" w:rsidRPr="004C15C0">
        <w:rPr>
          <w:rFonts w:ascii="Arial" w:hAnsi="Arial" w:cs="Arial"/>
          <w:sz w:val="24"/>
        </w:rPr>
        <w:t xml:space="preserve"> and employers</w:t>
      </w:r>
      <w:r w:rsidR="00CC689F" w:rsidRPr="004C15C0">
        <w:rPr>
          <w:rFonts w:ascii="Arial" w:hAnsi="Arial" w:cs="Arial"/>
          <w:sz w:val="24"/>
        </w:rPr>
        <w:t xml:space="preserve">. </w:t>
      </w:r>
    </w:p>
    <w:p w14:paraId="784E0A56" w14:textId="77777777" w:rsidR="0086013A" w:rsidRPr="004C15C0" w:rsidRDefault="0086013A" w:rsidP="0086013A">
      <w:pPr>
        <w:spacing w:before="0" w:after="0" w:line="240" w:lineRule="auto"/>
        <w:rPr>
          <w:rFonts w:ascii="Arial" w:hAnsi="Arial" w:cs="Arial"/>
          <w:sz w:val="24"/>
        </w:rPr>
      </w:pPr>
    </w:p>
    <w:p w14:paraId="4A7FB257" w14:textId="2575AFAC" w:rsidR="008261CA" w:rsidRPr="004C15C0" w:rsidRDefault="00CC689F" w:rsidP="0086013A">
      <w:pPr>
        <w:spacing w:before="0" w:after="0" w:line="240" w:lineRule="auto"/>
        <w:rPr>
          <w:rFonts w:ascii="Arial" w:hAnsi="Arial" w:cs="Arial"/>
          <w:sz w:val="24"/>
        </w:rPr>
      </w:pPr>
      <w:r w:rsidRPr="004C15C0">
        <w:rPr>
          <w:rFonts w:ascii="Arial" w:hAnsi="Arial" w:cs="Arial"/>
          <w:sz w:val="24"/>
        </w:rPr>
        <w:t>Y</w:t>
      </w:r>
      <w:r w:rsidR="008261CA" w:rsidRPr="004C15C0">
        <w:rPr>
          <w:rFonts w:ascii="Arial" w:hAnsi="Arial" w:cs="Arial"/>
          <w:sz w:val="24"/>
        </w:rPr>
        <w:t>oung people</w:t>
      </w:r>
      <w:r w:rsidRPr="004C15C0">
        <w:rPr>
          <w:rFonts w:ascii="Arial" w:hAnsi="Arial" w:cs="Arial"/>
          <w:sz w:val="24"/>
        </w:rPr>
        <w:t xml:space="preserve"> in DES</w:t>
      </w:r>
      <w:r w:rsidR="008261CA" w:rsidRPr="004C15C0">
        <w:rPr>
          <w:rFonts w:ascii="Arial" w:hAnsi="Arial" w:cs="Arial"/>
          <w:sz w:val="24"/>
        </w:rPr>
        <w:t xml:space="preserve"> </w:t>
      </w:r>
      <w:r w:rsidRPr="004C15C0">
        <w:rPr>
          <w:rFonts w:ascii="Arial" w:hAnsi="Arial" w:cs="Arial"/>
          <w:sz w:val="24"/>
        </w:rPr>
        <w:t>generally are not receiving</w:t>
      </w:r>
      <w:r w:rsidR="008261CA" w:rsidRPr="004C15C0">
        <w:rPr>
          <w:rFonts w:ascii="Arial" w:hAnsi="Arial" w:cs="Arial"/>
          <w:sz w:val="24"/>
        </w:rPr>
        <w:t xml:space="preserve"> youth specific supports that address their needs in a holistic approach. </w:t>
      </w:r>
    </w:p>
    <w:p w14:paraId="67493153" w14:textId="7DF6181D" w:rsidR="0086013A" w:rsidRPr="004C15C0" w:rsidRDefault="0086013A" w:rsidP="0086013A">
      <w:pPr>
        <w:spacing w:before="0" w:after="0" w:line="240" w:lineRule="auto"/>
        <w:rPr>
          <w:rFonts w:ascii="Arial" w:hAnsi="Arial" w:cs="Arial"/>
          <w:sz w:val="24"/>
        </w:rPr>
      </w:pPr>
    </w:p>
    <w:p w14:paraId="66AC3FA0" w14:textId="0889B579" w:rsidR="0086013A" w:rsidRPr="004C15C0" w:rsidRDefault="009B6CE8" w:rsidP="0086013A">
      <w:pPr>
        <w:spacing w:before="0" w:after="0" w:line="240" w:lineRule="auto"/>
        <w:rPr>
          <w:rFonts w:ascii="Arial" w:hAnsi="Arial" w:cs="Arial"/>
          <w:noProof/>
          <w:sz w:val="24"/>
        </w:rPr>
      </w:pPr>
      <w:r w:rsidRPr="004C15C0">
        <w:rPr>
          <w:rFonts w:ascii="Arial" w:hAnsi="Arial" w:cs="Arial"/>
          <w:sz w:val="24"/>
        </w:rPr>
        <w:t xml:space="preserve">The </w:t>
      </w:r>
      <w:r w:rsidR="0086013A" w:rsidRPr="004C15C0">
        <w:rPr>
          <w:rFonts w:ascii="Arial" w:hAnsi="Arial" w:cs="Arial"/>
          <w:sz w:val="24"/>
        </w:rPr>
        <w:t xml:space="preserve">Transition to </w:t>
      </w:r>
      <w:r w:rsidR="008D37DE" w:rsidRPr="004C15C0">
        <w:rPr>
          <w:rFonts w:ascii="Arial" w:hAnsi="Arial" w:cs="Arial"/>
          <w:sz w:val="24"/>
        </w:rPr>
        <w:t>W</w:t>
      </w:r>
      <w:r w:rsidR="0086013A" w:rsidRPr="004C15C0">
        <w:rPr>
          <w:rFonts w:ascii="Arial" w:hAnsi="Arial" w:cs="Arial"/>
          <w:sz w:val="24"/>
        </w:rPr>
        <w:t xml:space="preserve">ork </w:t>
      </w:r>
      <w:r w:rsidR="001C2C05" w:rsidRPr="004C15C0">
        <w:rPr>
          <w:rFonts w:ascii="Arial" w:hAnsi="Arial" w:cs="Arial"/>
          <w:noProof/>
          <w:sz w:val="24"/>
        </w:rPr>
        <w:t xml:space="preserve">funding model is weighted more to service fees than Outcome Payments and gives equal value to Employment and Education Outcomes. </w:t>
      </w:r>
      <w:r w:rsidR="0086013A" w:rsidRPr="004C15C0">
        <w:rPr>
          <w:rFonts w:ascii="Arial" w:hAnsi="Arial" w:cs="Arial"/>
          <w:noProof/>
          <w:sz w:val="24"/>
        </w:rPr>
        <w:t>This is unlike DES</w:t>
      </w:r>
      <w:r w:rsidR="0034168B">
        <w:rPr>
          <w:rFonts w:ascii="Arial" w:hAnsi="Arial" w:cs="Arial"/>
          <w:noProof/>
          <w:sz w:val="24"/>
        </w:rPr>
        <w:t>,</w:t>
      </w:r>
      <w:r w:rsidR="0086013A" w:rsidRPr="004C15C0">
        <w:rPr>
          <w:rFonts w:ascii="Arial" w:hAnsi="Arial" w:cs="Arial"/>
          <w:noProof/>
          <w:sz w:val="24"/>
        </w:rPr>
        <w:t xml:space="preserve"> wh</w:t>
      </w:r>
      <w:r w:rsidRPr="004C15C0">
        <w:rPr>
          <w:rFonts w:ascii="Arial" w:hAnsi="Arial" w:cs="Arial"/>
          <w:noProof/>
          <w:sz w:val="24"/>
        </w:rPr>
        <w:t xml:space="preserve">ere the </w:t>
      </w:r>
      <w:r w:rsidR="0086013A" w:rsidRPr="004C15C0">
        <w:rPr>
          <w:rFonts w:ascii="Arial" w:hAnsi="Arial" w:cs="Arial"/>
          <w:noProof/>
          <w:sz w:val="24"/>
        </w:rPr>
        <w:t>focus</w:t>
      </w:r>
      <w:r w:rsidRPr="004C15C0">
        <w:rPr>
          <w:rFonts w:ascii="Arial" w:hAnsi="Arial" w:cs="Arial"/>
          <w:noProof/>
          <w:sz w:val="24"/>
        </w:rPr>
        <w:t xml:space="preserve"> is</w:t>
      </w:r>
      <w:r w:rsidR="0086013A" w:rsidRPr="004C15C0">
        <w:rPr>
          <w:rFonts w:ascii="Arial" w:hAnsi="Arial" w:cs="Arial"/>
          <w:noProof/>
          <w:sz w:val="24"/>
        </w:rPr>
        <w:t xml:space="preserve"> on outcome payments. </w:t>
      </w:r>
    </w:p>
    <w:p w14:paraId="39A77C41" w14:textId="77777777" w:rsidR="0086013A" w:rsidRPr="004C15C0" w:rsidRDefault="0086013A" w:rsidP="0086013A">
      <w:pPr>
        <w:spacing w:before="0" w:after="0" w:line="240" w:lineRule="auto"/>
        <w:rPr>
          <w:rFonts w:ascii="Arial" w:hAnsi="Arial" w:cs="Arial"/>
          <w:noProof/>
          <w:sz w:val="24"/>
        </w:rPr>
      </w:pPr>
    </w:p>
    <w:p w14:paraId="29D84D12" w14:textId="7B7BFC87" w:rsidR="001C2C05" w:rsidRDefault="0086013A" w:rsidP="0086013A">
      <w:pPr>
        <w:spacing w:before="0" w:after="0" w:line="240" w:lineRule="auto"/>
        <w:rPr>
          <w:rFonts w:ascii="Arial" w:hAnsi="Arial" w:cs="Arial"/>
          <w:noProof/>
          <w:sz w:val="24"/>
        </w:rPr>
      </w:pPr>
      <w:r w:rsidRPr="004C15C0">
        <w:rPr>
          <w:rFonts w:ascii="Arial" w:hAnsi="Arial" w:cs="Arial"/>
          <w:noProof/>
          <w:sz w:val="24"/>
        </w:rPr>
        <w:t>The consultation paper state</w:t>
      </w:r>
      <w:r w:rsidR="009B6CE8" w:rsidRPr="004C15C0">
        <w:rPr>
          <w:rFonts w:ascii="Arial" w:hAnsi="Arial" w:cs="Arial"/>
          <w:noProof/>
          <w:sz w:val="24"/>
        </w:rPr>
        <w:t xml:space="preserve">s that </w:t>
      </w:r>
      <w:r w:rsidR="00E3704A" w:rsidRPr="004C15C0">
        <w:rPr>
          <w:rFonts w:ascii="Arial" w:hAnsi="Arial" w:cs="Arial"/>
          <w:noProof/>
          <w:sz w:val="24"/>
        </w:rPr>
        <w:t>T</w:t>
      </w:r>
      <w:r w:rsidRPr="004C15C0">
        <w:rPr>
          <w:rFonts w:ascii="Arial" w:hAnsi="Arial" w:cs="Arial"/>
          <w:noProof/>
          <w:sz w:val="24"/>
        </w:rPr>
        <w:t>ransit</w:t>
      </w:r>
      <w:r w:rsidR="00E3704A" w:rsidRPr="004C15C0">
        <w:rPr>
          <w:rFonts w:ascii="Arial" w:hAnsi="Arial" w:cs="Arial"/>
          <w:noProof/>
          <w:sz w:val="24"/>
        </w:rPr>
        <w:t>i</w:t>
      </w:r>
      <w:r w:rsidRPr="004C15C0">
        <w:rPr>
          <w:rFonts w:ascii="Arial" w:hAnsi="Arial" w:cs="Arial"/>
          <w:noProof/>
          <w:sz w:val="24"/>
        </w:rPr>
        <w:t xml:space="preserve">on to </w:t>
      </w:r>
      <w:r w:rsidR="00E3704A" w:rsidRPr="004C15C0">
        <w:rPr>
          <w:rFonts w:ascii="Arial" w:hAnsi="Arial" w:cs="Arial"/>
          <w:noProof/>
          <w:sz w:val="24"/>
        </w:rPr>
        <w:t>W</w:t>
      </w:r>
      <w:r w:rsidRPr="004C15C0">
        <w:rPr>
          <w:rFonts w:ascii="Arial" w:hAnsi="Arial" w:cs="Arial"/>
          <w:noProof/>
          <w:sz w:val="24"/>
        </w:rPr>
        <w:t>ork e</w:t>
      </w:r>
      <w:r w:rsidR="001C2C05" w:rsidRPr="004C15C0">
        <w:rPr>
          <w:rFonts w:ascii="Arial" w:hAnsi="Arial" w:cs="Arial"/>
          <w:noProof/>
          <w:sz w:val="24"/>
        </w:rPr>
        <w:t>nab</w:t>
      </w:r>
      <w:r w:rsidR="009B6CE8" w:rsidRPr="004C15C0">
        <w:rPr>
          <w:rFonts w:ascii="Arial" w:hAnsi="Arial" w:cs="Arial"/>
          <w:noProof/>
          <w:sz w:val="24"/>
        </w:rPr>
        <w:t>les</w:t>
      </w:r>
      <w:r w:rsidR="001C2C05" w:rsidRPr="004C15C0">
        <w:rPr>
          <w:rFonts w:ascii="Arial" w:hAnsi="Arial" w:cs="Arial"/>
          <w:noProof/>
          <w:sz w:val="24"/>
        </w:rPr>
        <w:t xml:space="preserve"> upfront investments in the capabilities of the young person, help</w:t>
      </w:r>
      <w:r w:rsidR="009B6CE8" w:rsidRPr="004C15C0">
        <w:rPr>
          <w:rFonts w:ascii="Arial" w:hAnsi="Arial" w:cs="Arial"/>
          <w:noProof/>
          <w:sz w:val="24"/>
        </w:rPr>
        <w:t>ing</w:t>
      </w:r>
      <w:r w:rsidR="001C2C05" w:rsidRPr="004C15C0">
        <w:rPr>
          <w:rFonts w:ascii="Arial" w:hAnsi="Arial" w:cs="Arial"/>
          <w:noProof/>
          <w:sz w:val="24"/>
        </w:rPr>
        <w:t xml:space="preserve"> to protect </w:t>
      </w:r>
      <w:r w:rsidR="009B6CE8" w:rsidRPr="004C15C0">
        <w:rPr>
          <w:rFonts w:ascii="Arial" w:hAnsi="Arial" w:cs="Arial"/>
          <w:noProof/>
          <w:sz w:val="24"/>
        </w:rPr>
        <w:t xml:space="preserve">them </w:t>
      </w:r>
      <w:r w:rsidR="001C2C05" w:rsidRPr="004C15C0">
        <w:rPr>
          <w:rFonts w:ascii="Arial" w:hAnsi="Arial" w:cs="Arial"/>
          <w:noProof/>
          <w:sz w:val="24"/>
        </w:rPr>
        <w:t>against the long-term scarring effects of labour market recessions.</w:t>
      </w:r>
      <w:r w:rsidR="001C2C05" w:rsidRPr="004C15C0">
        <w:rPr>
          <w:rStyle w:val="FootnoteReference"/>
          <w:rFonts w:ascii="Arial" w:hAnsi="Arial" w:cs="Arial"/>
          <w:noProof/>
          <w:sz w:val="24"/>
        </w:rPr>
        <w:footnoteReference w:id="14"/>
      </w:r>
      <w:r w:rsidR="001C2C05" w:rsidRPr="004C15C0">
        <w:rPr>
          <w:rFonts w:ascii="Arial" w:hAnsi="Arial" w:cs="Arial"/>
          <w:noProof/>
          <w:sz w:val="24"/>
        </w:rPr>
        <w:t xml:space="preserve"> It requires that Transition to Work providers are able to identify training and education opportunities which will help young people develop the skills and attributes employers are looking for.</w:t>
      </w:r>
      <w:r w:rsidR="008F114E" w:rsidRPr="004C15C0">
        <w:rPr>
          <w:rFonts w:ascii="Arial" w:hAnsi="Arial" w:cs="Arial"/>
          <w:noProof/>
          <w:sz w:val="24"/>
        </w:rPr>
        <w:t xml:space="preserve"> Young people with disability would benefit from this investment based model, rather than the current complance based employment model of DES.</w:t>
      </w:r>
      <w:r w:rsidR="008F114E">
        <w:rPr>
          <w:rFonts w:ascii="Arial" w:hAnsi="Arial" w:cs="Arial"/>
          <w:noProof/>
          <w:sz w:val="24"/>
        </w:rPr>
        <w:t xml:space="preserve"> </w:t>
      </w:r>
    </w:p>
    <w:p w14:paraId="176B9D47" w14:textId="5D582DF6" w:rsidR="0086013A" w:rsidRDefault="0086013A" w:rsidP="0086013A">
      <w:pPr>
        <w:spacing w:before="0" w:after="0" w:line="240" w:lineRule="auto"/>
        <w:rPr>
          <w:rFonts w:ascii="Arial" w:hAnsi="Arial" w:cs="Arial"/>
          <w:noProof/>
          <w:sz w:val="24"/>
        </w:rPr>
      </w:pPr>
    </w:p>
    <w:p w14:paraId="1AE82111" w14:textId="544F646F" w:rsidR="00E3704A" w:rsidRPr="00E3704A" w:rsidRDefault="00E3704A" w:rsidP="0086013A">
      <w:pPr>
        <w:spacing w:before="0" w:after="0" w:line="240" w:lineRule="auto"/>
        <w:rPr>
          <w:rFonts w:ascii="Arial" w:hAnsi="Arial" w:cs="Arial"/>
          <w:b/>
          <w:bCs/>
          <w:noProof/>
          <w:sz w:val="24"/>
        </w:rPr>
      </w:pPr>
      <w:r w:rsidRPr="00E3704A">
        <w:rPr>
          <w:rFonts w:ascii="Arial" w:hAnsi="Arial" w:cs="Arial"/>
          <w:b/>
          <w:bCs/>
          <w:noProof/>
          <w:sz w:val="24"/>
        </w:rPr>
        <w:t>You</w:t>
      </w:r>
      <w:r w:rsidR="008D37DE">
        <w:rPr>
          <w:rFonts w:ascii="Arial" w:hAnsi="Arial" w:cs="Arial"/>
          <w:b/>
          <w:bCs/>
          <w:noProof/>
          <w:sz w:val="24"/>
        </w:rPr>
        <w:t>ng</w:t>
      </w:r>
      <w:r w:rsidRPr="00E3704A">
        <w:rPr>
          <w:rFonts w:ascii="Arial" w:hAnsi="Arial" w:cs="Arial"/>
          <w:b/>
          <w:bCs/>
          <w:noProof/>
          <w:sz w:val="24"/>
        </w:rPr>
        <w:t xml:space="preserve"> </w:t>
      </w:r>
      <w:r w:rsidR="00856144">
        <w:rPr>
          <w:rFonts w:ascii="Arial" w:hAnsi="Arial" w:cs="Arial"/>
          <w:b/>
          <w:bCs/>
          <w:noProof/>
          <w:sz w:val="24"/>
        </w:rPr>
        <w:t>P</w:t>
      </w:r>
      <w:r w:rsidRPr="00E3704A">
        <w:rPr>
          <w:rFonts w:ascii="Arial" w:hAnsi="Arial" w:cs="Arial"/>
          <w:b/>
          <w:bCs/>
          <w:noProof/>
          <w:sz w:val="24"/>
        </w:rPr>
        <w:t xml:space="preserve">eople with </w:t>
      </w:r>
      <w:r w:rsidR="00856144">
        <w:rPr>
          <w:rFonts w:ascii="Arial" w:hAnsi="Arial" w:cs="Arial"/>
          <w:b/>
          <w:bCs/>
          <w:noProof/>
          <w:sz w:val="24"/>
        </w:rPr>
        <w:t>D</w:t>
      </w:r>
      <w:r w:rsidRPr="00E3704A">
        <w:rPr>
          <w:rFonts w:ascii="Arial" w:hAnsi="Arial" w:cs="Arial"/>
          <w:b/>
          <w:bCs/>
          <w:noProof/>
          <w:sz w:val="24"/>
        </w:rPr>
        <w:t xml:space="preserve">isabiltiy </w:t>
      </w:r>
    </w:p>
    <w:p w14:paraId="425A55E9" w14:textId="77777777" w:rsidR="00856144" w:rsidRDefault="00856144" w:rsidP="00461C65">
      <w:pPr>
        <w:spacing w:before="0" w:after="120" w:line="259" w:lineRule="auto"/>
        <w:rPr>
          <w:rFonts w:ascii="Arial" w:hAnsi="Arial" w:cs="Arial"/>
          <w:sz w:val="24"/>
          <w:lang w:eastAsia="de-DE"/>
        </w:rPr>
      </w:pPr>
    </w:p>
    <w:p w14:paraId="797E1314" w14:textId="04CCDD81" w:rsidR="00461C65" w:rsidRDefault="00251B4E" w:rsidP="00461C65">
      <w:pPr>
        <w:spacing w:before="0" w:after="120" w:line="259" w:lineRule="auto"/>
        <w:rPr>
          <w:rFonts w:ascii="Arial" w:hAnsi="Arial" w:cs="Arial"/>
          <w:sz w:val="24"/>
          <w:lang w:eastAsia="de-DE"/>
        </w:rPr>
      </w:pPr>
      <w:r w:rsidRPr="00130150">
        <w:rPr>
          <w:rFonts w:ascii="Arial" w:hAnsi="Arial" w:cs="Arial"/>
          <w:sz w:val="24"/>
          <w:lang w:eastAsia="de-DE"/>
        </w:rPr>
        <w:t xml:space="preserve">Young people with disability are young people first and require youth specific support as well as disability employment expertise. </w:t>
      </w:r>
    </w:p>
    <w:p w14:paraId="5B2580BE" w14:textId="3D86595E" w:rsidR="008D37DE" w:rsidRPr="008D37DE" w:rsidRDefault="008D37DE" w:rsidP="00461C65">
      <w:pPr>
        <w:shd w:val="clear" w:color="auto" w:fill="FFFFFF"/>
        <w:spacing w:before="0" w:after="120" w:line="259" w:lineRule="auto"/>
        <w:rPr>
          <w:rFonts w:ascii="Arial" w:hAnsi="Arial" w:cs="Arial"/>
          <w:color w:val="000000"/>
          <w:spacing w:val="0"/>
          <w:sz w:val="24"/>
        </w:rPr>
      </w:pPr>
      <w:r w:rsidRPr="008D37DE">
        <w:rPr>
          <w:rFonts w:ascii="Arial" w:hAnsi="Arial" w:cs="Arial"/>
          <w:color w:val="000000"/>
          <w:spacing w:val="0"/>
          <w:sz w:val="24"/>
        </w:rPr>
        <w:t>T</w:t>
      </w:r>
      <w:r w:rsidRPr="005B38DC">
        <w:rPr>
          <w:rFonts w:ascii="Arial" w:hAnsi="Arial" w:cs="Arial"/>
          <w:color w:val="000000"/>
          <w:spacing w:val="0"/>
          <w:sz w:val="24"/>
        </w:rPr>
        <w:t xml:space="preserve">he current employment support systems are largely failing young people with disability </w:t>
      </w:r>
      <w:r w:rsidR="00E40A2D">
        <w:rPr>
          <w:rFonts w:ascii="Arial" w:hAnsi="Arial" w:cs="Arial"/>
          <w:color w:val="000000"/>
          <w:spacing w:val="0"/>
          <w:sz w:val="24"/>
        </w:rPr>
        <w:t>in Australia</w:t>
      </w:r>
      <w:r w:rsidR="002F3A85">
        <w:rPr>
          <w:rFonts w:ascii="Arial" w:hAnsi="Arial" w:cs="Arial"/>
          <w:color w:val="000000"/>
          <w:spacing w:val="0"/>
          <w:sz w:val="24"/>
        </w:rPr>
        <w:t xml:space="preserve">. Consequently, this is </w:t>
      </w:r>
      <w:r w:rsidRPr="005B38DC">
        <w:rPr>
          <w:rFonts w:ascii="Arial" w:hAnsi="Arial" w:cs="Arial"/>
          <w:color w:val="000000"/>
          <w:spacing w:val="0"/>
          <w:sz w:val="24"/>
        </w:rPr>
        <w:t>condemning these young people to a marginalised and dependant life with reduced opportunity for social and economic participation</w:t>
      </w:r>
      <w:r w:rsidRPr="008D37DE">
        <w:rPr>
          <w:rFonts w:ascii="Arial" w:hAnsi="Arial" w:cs="Arial"/>
          <w:color w:val="000000"/>
          <w:spacing w:val="0"/>
          <w:sz w:val="24"/>
        </w:rPr>
        <w:t>.</w:t>
      </w:r>
      <w:r w:rsidRPr="008D37DE">
        <w:rPr>
          <w:rStyle w:val="FootnoteReference"/>
          <w:rFonts w:ascii="Arial" w:hAnsi="Arial" w:cs="Arial"/>
          <w:color w:val="000000"/>
          <w:spacing w:val="0"/>
          <w:sz w:val="24"/>
        </w:rPr>
        <w:footnoteReference w:id="15"/>
      </w:r>
    </w:p>
    <w:p w14:paraId="761DB34D" w14:textId="6BEF1A63" w:rsidR="005C32C3" w:rsidRPr="00D66A26" w:rsidRDefault="0086013A" w:rsidP="00E3704A">
      <w:pPr>
        <w:spacing w:before="240" w:after="0" w:line="259" w:lineRule="auto"/>
        <w:rPr>
          <w:rFonts w:ascii="Arial" w:hAnsi="Arial" w:cs="Arial"/>
          <w:sz w:val="24"/>
        </w:rPr>
      </w:pPr>
      <w:r w:rsidRPr="008D37DE">
        <w:rPr>
          <w:rFonts w:ascii="Arial" w:hAnsi="Arial" w:cs="Arial"/>
          <w:sz w:val="24"/>
        </w:rPr>
        <w:t xml:space="preserve">Young people with disabilities are </w:t>
      </w:r>
      <w:r w:rsidR="00D41369">
        <w:rPr>
          <w:rFonts w:ascii="Arial" w:hAnsi="Arial" w:cs="Arial"/>
          <w:sz w:val="24"/>
        </w:rPr>
        <w:t>represented</w:t>
      </w:r>
      <w:r w:rsidRPr="008D37DE">
        <w:rPr>
          <w:rFonts w:ascii="Arial" w:hAnsi="Arial" w:cs="Arial"/>
          <w:sz w:val="24"/>
        </w:rPr>
        <w:t xml:space="preserve"> </w:t>
      </w:r>
      <w:r w:rsidR="00D41369">
        <w:rPr>
          <w:rFonts w:ascii="Arial" w:hAnsi="Arial" w:cs="Arial"/>
          <w:sz w:val="24"/>
        </w:rPr>
        <w:t xml:space="preserve">in </w:t>
      </w:r>
      <w:r w:rsidRPr="008D37DE">
        <w:rPr>
          <w:rFonts w:ascii="Arial" w:hAnsi="Arial" w:cs="Arial"/>
          <w:sz w:val="24"/>
        </w:rPr>
        <w:t>other specific youth populations such as “early school leavers”, “vulnerable” and “disconnected” youth</w:t>
      </w:r>
      <w:r w:rsidR="00D41369">
        <w:rPr>
          <w:rFonts w:ascii="Arial" w:hAnsi="Arial" w:cs="Arial"/>
          <w:sz w:val="24"/>
        </w:rPr>
        <w:t>.</w:t>
      </w:r>
      <w:r w:rsidRPr="008D37DE">
        <w:rPr>
          <w:rFonts w:ascii="Arial" w:hAnsi="Arial" w:cs="Arial"/>
          <w:sz w:val="24"/>
        </w:rPr>
        <w:t xml:space="preserve"> </w:t>
      </w:r>
      <w:r w:rsidR="00D41369">
        <w:rPr>
          <w:rFonts w:ascii="Arial" w:hAnsi="Arial" w:cs="Arial"/>
          <w:sz w:val="24"/>
        </w:rPr>
        <w:t>P</w:t>
      </w:r>
      <w:r w:rsidRPr="008D37DE">
        <w:rPr>
          <w:rFonts w:ascii="Arial" w:hAnsi="Arial" w:cs="Arial"/>
          <w:sz w:val="24"/>
        </w:rPr>
        <w:t>olicy</w:t>
      </w:r>
      <w:r w:rsidRPr="00F2771B">
        <w:rPr>
          <w:rFonts w:ascii="Arial" w:hAnsi="Arial" w:cs="Arial"/>
          <w:sz w:val="24"/>
        </w:rPr>
        <w:t xml:space="preserve"> analysts and researchers have suggested developing a single overarching federal policy that addresses the challenges faced by </w:t>
      </w:r>
      <w:r w:rsidR="00D41369">
        <w:rPr>
          <w:rFonts w:ascii="Arial" w:hAnsi="Arial" w:cs="Arial"/>
          <w:sz w:val="24"/>
        </w:rPr>
        <w:t xml:space="preserve">(all) </w:t>
      </w:r>
      <w:r w:rsidRPr="00F2771B">
        <w:rPr>
          <w:rFonts w:ascii="Arial" w:hAnsi="Arial" w:cs="Arial"/>
          <w:sz w:val="24"/>
        </w:rPr>
        <w:t>youth in transition (Fernandes, 2012; Moreno, Honeycutt, McLeod, &amp; Gill, 2013).</w:t>
      </w:r>
      <w:r w:rsidRPr="00F2771B">
        <w:rPr>
          <w:rStyle w:val="FootnoteReference"/>
          <w:rFonts w:ascii="Arial" w:hAnsi="Arial" w:cs="Arial"/>
          <w:sz w:val="24"/>
        </w:rPr>
        <w:footnoteReference w:id="16"/>
      </w:r>
    </w:p>
    <w:p w14:paraId="4C8F689D" w14:textId="126F75FF" w:rsidR="005C32C3" w:rsidRDefault="00BF55E9" w:rsidP="00820E6E">
      <w:pPr>
        <w:spacing w:before="120" w:after="0" w:line="240" w:lineRule="auto"/>
        <w:rPr>
          <w:rFonts w:ascii="Arial" w:hAnsi="Arial" w:cs="Arial"/>
          <w:sz w:val="24"/>
        </w:rPr>
      </w:pPr>
      <w:r w:rsidRPr="00D66A26">
        <w:rPr>
          <w:rFonts w:ascii="Arial" w:hAnsi="Arial" w:cs="Arial"/>
          <w:sz w:val="24"/>
        </w:rPr>
        <w:t>Improving the transition from school to work for young adults with disability has been a mainstay of many inquiries</w:t>
      </w:r>
      <w:r w:rsidR="00E3704A">
        <w:rPr>
          <w:rFonts w:ascii="Arial" w:hAnsi="Arial" w:cs="Arial"/>
          <w:sz w:val="24"/>
        </w:rPr>
        <w:t xml:space="preserve"> and report</w:t>
      </w:r>
      <w:r w:rsidR="0041311A">
        <w:rPr>
          <w:rFonts w:ascii="Arial" w:hAnsi="Arial" w:cs="Arial"/>
          <w:sz w:val="24"/>
        </w:rPr>
        <w:t>s</w:t>
      </w:r>
      <w:r w:rsidRPr="00D66A26">
        <w:rPr>
          <w:rFonts w:ascii="Arial" w:hAnsi="Arial" w:cs="Arial"/>
          <w:sz w:val="24"/>
        </w:rPr>
        <w:t xml:space="preserve"> in Australia</w:t>
      </w:r>
      <w:r w:rsidR="00E3704A">
        <w:rPr>
          <w:rFonts w:ascii="Arial" w:hAnsi="Arial" w:cs="Arial"/>
          <w:sz w:val="24"/>
        </w:rPr>
        <w:t xml:space="preserve"> (</w:t>
      </w:r>
      <w:r w:rsidR="00D41369">
        <w:rPr>
          <w:rFonts w:ascii="Arial" w:hAnsi="Arial" w:cs="Arial"/>
          <w:sz w:val="24"/>
        </w:rPr>
        <w:t>including those</w:t>
      </w:r>
      <w:r w:rsidR="00E3704A">
        <w:rPr>
          <w:rFonts w:ascii="Arial" w:hAnsi="Arial" w:cs="Arial"/>
          <w:sz w:val="24"/>
        </w:rPr>
        <w:t xml:space="preserve"> listed below)</w:t>
      </w:r>
      <w:r w:rsidR="00D41369">
        <w:rPr>
          <w:rFonts w:ascii="Arial" w:hAnsi="Arial" w:cs="Arial"/>
          <w:sz w:val="24"/>
        </w:rPr>
        <w:t>;</w:t>
      </w:r>
      <w:r w:rsidRPr="00D66A26">
        <w:rPr>
          <w:rFonts w:ascii="Arial" w:hAnsi="Arial" w:cs="Arial"/>
          <w:sz w:val="24"/>
        </w:rPr>
        <w:t xml:space="preserve"> however, </w:t>
      </w:r>
      <w:r w:rsidR="00D41369">
        <w:rPr>
          <w:rFonts w:ascii="Arial" w:hAnsi="Arial" w:cs="Arial"/>
          <w:sz w:val="24"/>
        </w:rPr>
        <w:t xml:space="preserve">the many positive recommendations for transition support for these young </w:t>
      </w:r>
      <w:r w:rsidR="00D41369">
        <w:rPr>
          <w:rFonts w:ascii="Arial" w:hAnsi="Arial" w:cs="Arial"/>
          <w:sz w:val="24"/>
        </w:rPr>
        <w:lastRenderedPageBreak/>
        <w:t xml:space="preserve">people </w:t>
      </w:r>
      <w:r w:rsidRPr="00D66A26">
        <w:rPr>
          <w:rFonts w:ascii="Arial" w:hAnsi="Arial" w:cs="Arial"/>
          <w:sz w:val="24"/>
        </w:rPr>
        <w:t>ha</w:t>
      </w:r>
      <w:r w:rsidR="00D41369">
        <w:rPr>
          <w:rFonts w:ascii="Arial" w:hAnsi="Arial" w:cs="Arial"/>
          <w:sz w:val="24"/>
        </w:rPr>
        <w:t>ve</w:t>
      </w:r>
      <w:r w:rsidRPr="00D66A26">
        <w:rPr>
          <w:rFonts w:ascii="Arial" w:hAnsi="Arial" w:cs="Arial"/>
          <w:sz w:val="24"/>
        </w:rPr>
        <w:t xml:space="preserve"> not been </w:t>
      </w:r>
      <w:r w:rsidR="00D41369">
        <w:rPr>
          <w:rFonts w:ascii="Arial" w:hAnsi="Arial" w:cs="Arial"/>
          <w:sz w:val="24"/>
        </w:rPr>
        <w:t>real</w:t>
      </w:r>
      <w:r w:rsidRPr="00D66A26">
        <w:rPr>
          <w:rFonts w:ascii="Arial" w:hAnsi="Arial" w:cs="Arial"/>
          <w:sz w:val="24"/>
        </w:rPr>
        <w:t>ised</w:t>
      </w:r>
      <w:r w:rsidR="00D41369">
        <w:rPr>
          <w:rFonts w:ascii="Arial" w:hAnsi="Arial" w:cs="Arial"/>
          <w:sz w:val="24"/>
        </w:rPr>
        <w:t xml:space="preserve"> to any significant extent</w:t>
      </w:r>
      <w:r w:rsidRPr="00D66A26">
        <w:rPr>
          <w:rFonts w:ascii="Arial" w:hAnsi="Arial" w:cs="Arial"/>
          <w:sz w:val="24"/>
        </w:rPr>
        <w:t xml:space="preserve"> and the actual process of post school transition has remained ill-defined.</w:t>
      </w:r>
      <w:r w:rsidR="001460C9">
        <w:rPr>
          <w:rStyle w:val="FootnoteReference"/>
          <w:rFonts w:ascii="Arial" w:hAnsi="Arial" w:cs="Arial"/>
          <w:sz w:val="24"/>
        </w:rPr>
        <w:footnoteReference w:id="17"/>
      </w:r>
      <w:r w:rsidR="0041311A">
        <w:rPr>
          <w:rFonts w:ascii="Arial" w:hAnsi="Arial" w:cs="Arial"/>
          <w:sz w:val="24"/>
        </w:rPr>
        <w:t xml:space="preserve"> </w:t>
      </w:r>
    </w:p>
    <w:p w14:paraId="590E7860" w14:textId="545A3BF2" w:rsidR="0041311A" w:rsidRPr="00D66A26" w:rsidRDefault="0041311A" w:rsidP="00820E6E">
      <w:pPr>
        <w:spacing w:before="120" w:after="0" w:line="240" w:lineRule="auto"/>
        <w:rPr>
          <w:rFonts w:ascii="Arial" w:hAnsi="Arial" w:cs="Arial"/>
          <w:sz w:val="24"/>
        </w:rPr>
      </w:pPr>
      <w:r>
        <w:rPr>
          <w:rFonts w:ascii="Arial" w:hAnsi="Arial" w:cs="Arial"/>
          <w:sz w:val="24"/>
        </w:rPr>
        <w:t>The enquiries and reports are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4503"/>
      </w:tblGrid>
      <w:tr w:rsidR="005C32C3" w:rsidRPr="00534889" w14:paraId="4DD34AB6" w14:textId="77777777" w:rsidTr="00F55A5A">
        <w:tc>
          <w:tcPr>
            <w:tcW w:w="4523" w:type="dxa"/>
            <w:hideMark/>
          </w:tcPr>
          <w:p w14:paraId="62929328" w14:textId="77777777" w:rsidR="005C32C3" w:rsidRPr="00534889" w:rsidRDefault="00A2638E" w:rsidP="00D66A26">
            <w:pPr>
              <w:pStyle w:val="ListParagraph"/>
              <w:numPr>
                <w:ilvl w:val="0"/>
                <w:numId w:val="24"/>
              </w:numPr>
              <w:spacing w:before="120" w:after="0" w:line="240" w:lineRule="auto"/>
              <w:rPr>
                <w:rFonts w:ascii="Arial" w:eastAsia="Times New Roman" w:hAnsi="Arial" w:cs="Arial"/>
                <w:color w:val="2C2A29"/>
                <w:kern w:val="36"/>
                <w:sz w:val="20"/>
                <w:szCs w:val="20"/>
                <w:lang w:eastAsia="en-AU"/>
              </w:rPr>
            </w:pPr>
            <w:hyperlink r:id="rId11" w:anchor=":~:text=The%20mid%2Dterm%20review%20informed,arrangements%20on%2030%20June%202023" w:history="1">
              <w:r w:rsidR="005C32C3" w:rsidRPr="00534889">
                <w:rPr>
                  <w:rStyle w:val="Hyperlink"/>
                  <w:rFonts w:ascii="Arial" w:eastAsia="Times New Roman" w:hAnsi="Arial" w:cs="Arial"/>
                  <w:kern w:val="36"/>
                  <w:sz w:val="20"/>
                  <w:szCs w:val="20"/>
                  <w:lang w:eastAsia="en-AU"/>
                </w:rPr>
                <w:t>Mid-term Review of the Disability Employment Services (DES) Program 2021</w:t>
              </w:r>
            </w:hyperlink>
          </w:p>
          <w:p w14:paraId="2C245699" w14:textId="77777777" w:rsidR="005C32C3" w:rsidRPr="00534889" w:rsidRDefault="00A2638E" w:rsidP="00D66A26">
            <w:pPr>
              <w:pStyle w:val="ListParagraph"/>
              <w:numPr>
                <w:ilvl w:val="0"/>
                <w:numId w:val="24"/>
              </w:numPr>
              <w:spacing w:before="120" w:after="0" w:line="240" w:lineRule="auto"/>
              <w:rPr>
                <w:rFonts w:ascii="Arial" w:hAnsi="Arial" w:cs="Arial"/>
                <w:sz w:val="20"/>
                <w:szCs w:val="20"/>
              </w:rPr>
            </w:pPr>
            <w:hyperlink r:id="rId12" w:history="1">
              <w:r w:rsidR="005C32C3" w:rsidRPr="00534889">
                <w:rPr>
                  <w:rStyle w:val="Hyperlink"/>
                  <w:rFonts w:ascii="Arial" w:hAnsi="Arial" w:cs="Arial"/>
                  <w:sz w:val="20"/>
                  <w:szCs w:val="20"/>
                </w:rPr>
                <w:t>Looking to the future: Review of senior school pathways</w:t>
              </w:r>
            </w:hyperlink>
            <w:r w:rsidR="005C32C3" w:rsidRPr="00534889">
              <w:rPr>
                <w:rFonts w:ascii="Arial" w:hAnsi="Arial" w:cs="Arial"/>
                <w:sz w:val="20"/>
                <w:szCs w:val="20"/>
              </w:rPr>
              <w:t xml:space="preserve"> 2020 </w:t>
            </w:r>
          </w:p>
          <w:p w14:paraId="091B0919" w14:textId="77777777" w:rsidR="005C32C3" w:rsidRPr="00534889" w:rsidRDefault="00A2638E" w:rsidP="00D66A26">
            <w:pPr>
              <w:pStyle w:val="ListParagraph"/>
              <w:numPr>
                <w:ilvl w:val="0"/>
                <w:numId w:val="24"/>
              </w:numPr>
              <w:spacing w:before="120" w:after="0" w:line="240" w:lineRule="auto"/>
              <w:rPr>
                <w:rFonts w:ascii="Arial" w:hAnsi="Arial" w:cs="Arial"/>
                <w:sz w:val="20"/>
                <w:szCs w:val="20"/>
              </w:rPr>
            </w:pPr>
            <w:hyperlink r:id="rId13" w:history="1">
              <w:r w:rsidR="005C32C3" w:rsidRPr="00534889">
                <w:rPr>
                  <w:rStyle w:val="Hyperlink"/>
                  <w:rFonts w:ascii="Arial" w:hAnsi="Arial" w:cs="Arial"/>
                  <w:sz w:val="20"/>
                  <w:szCs w:val="20"/>
                </w:rPr>
                <w:t>Unique Individuals, Broad Skills 2018</w:t>
              </w:r>
            </w:hyperlink>
          </w:p>
          <w:p w14:paraId="6D38AB91" w14:textId="77777777" w:rsidR="005C32C3" w:rsidRPr="00534889" w:rsidRDefault="00A2638E" w:rsidP="00D66A26">
            <w:pPr>
              <w:pStyle w:val="ListParagraph"/>
              <w:numPr>
                <w:ilvl w:val="0"/>
                <w:numId w:val="24"/>
              </w:numPr>
              <w:spacing w:before="120" w:after="0" w:line="240" w:lineRule="auto"/>
              <w:rPr>
                <w:rFonts w:ascii="Arial" w:hAnsi="Arial" w:cs="Arial"/>
                <w:sz w:val="20"/>
                <w:szCs w:val="20"/>
              </w:rPr>
            </w:pPr>
            <w:hyperlink r:id="rId14" w:history="1">
              <w:r w:rsidR="005C32C3" w:rsidRPr="00534889">
                <w:rPr>
                  <w:rStyle w:val="Hyperlink"/>
                  <w:rFonts w:ascii="Arial" w:hAnsi="Arial" w:cs="Arial"/>
                  <w:sz w:val="20"/>
                  <w:szCs w:val="20"/>
                </w:rPr>
                <w:t>National Disability Strategy Secondary implementation plan Driving Action 2016</w:t>
              </w:r>
            </w:hyperlink>
          </w:p>
          <w:p w14:paraId="321ACF50" w14:textId="77777777" w:rsidR="005C32C3" w:rsidRPr="00534889" w:rsidRDefault="00A2638E" w:rsidP="00D66A26">
            <w:pPr>
              <w:pStyle w:val="ListParagraph"/>
              <w:numPr>
                <w:ilvl w:val="0"/>
                <w:numId w:val="24"/>
              </w:numPr>
              <w:spacing w:before="120" w:after="0" w:line="240" w:lineRule="auto"/>
              <w:rPr>
                <w:rFonts w:ascii="Arial" w:hAnsi="Arial" w:cs="Arial"/>
                <w:sz w:val="20"/>
                <w:szCs w:val="20"/>
              </w:rPr>
            </w:pPr>
            <w:hyperlink r:id="rId15" w:history="1">
              <w:r w:rsidR="005C32C3" w:rsidRPr="00534889">
                <w:rPr>
                  <w:rStyle w:val="Hyperlink"/>
                  <w:rFonts w:ascii="Arial" w:hAnsi="Arial" w:cs="Arial"/>
                  <w:sz w:val="20"/>
                  <w:szCs w:val="20"/>
                </w:rPr>
                <w:t>Willing to Work paper</w:t>
              </w:r>
            </w:hyperlink>
            <w:r w:rsidR="005C32C3" w:rsidRPr="00534889">
              <w:rPr>
                <w:rFonts w:ascii="Arial" w:hAnsi="Arial" w:cs="Arial"/>
                <w:sz w:val="20"/>
                <w:szCs w:val="20"/>
              </w:rPr>
              <w:t xml:space="preserve"> (2016)</w:t>
            </w:r>
          </w:p>
          <w:p w14:paraId="499010CB" w14:textId="77777777" w:rsidR="005C32C3" w:rsidRPr="00534889" w:rsidRDefault="00A2638E" w:rsidP="00D66A26">
            <w:pPr>
              <w:pStyle w:val="ListParagraph"/>
              <w:numPr>
                <w:ilvl w:val="0"/>
                <w:numId w:val="24"/>
              </w:numPr>
              <w:spacing w:before="120" w:after="0" w:line="240" w:lineRule="auto"/>
              <w:rPr>
                <w:rFonts w:ascii="Arial" w:hAnsi="Arial" w:cs="Arial"/>
                <w:sz w:val="20"/>
                <w:szCs w:val="20"/>
              </w:rPr>
            </w:pPr>
            <w:hyperlink r:id="rId16" w:history="1">
              <w:r w:rsidR="005C32C3" w:rsidRPr="00534889">
                <w:rPr>
                  <w:rStyle w:val="Hyperlink"/>
                  <w:rFonts w:ascii="Arial" w:hAnsi="Arial" w:cs="Arial"/>
                  <w:sz w:val="20"/>
                  <w:szCs w:val="20"/>
                </w:rPr>
                <w:t>NDIS Participant Employment Strategy 2019 – 2022</w:t>
              </w:r>
            </w:hyperlink>
          </w:p>
          <w:p w14:paraId="36E128B1" w14:textId="77777777" w:rsidR="005C32C3" w:rsidRPr="00534889" w:rsidRDefault="00A2638E" w:rsidP="00D66A26">
            <w:pPr>
              <w:pStyle w:val="ListParagraph"/>
              <w:numPr>
                <w:ilvl w:val="0"/>
                <w:numId w:val="24"/>
              </w:numPr>
              <w:spacing w:before="120" w:after="0" w:line="240" w:lineRule="auto"/>
              <w:rPr>
                <w:rFonts w:ascii="Arial" w:hAnsi="Arial" w:cs="Arial"/>
                <w:sz w:val="20"/>
                <w:szCs w:val="20"/>
              </w:rPr>
            </w:pPr>
            <w:hyperlink r:id="rId17" w:history="1">
              <w:r w:rsidR="005C32C3" w:rsidRPr="00534889">
                <w:rPr>
                  <w:rStyle w:val="Hyperlink"/>
                  <w:rFonts w:ascii="Arial" w:hAnsi="Arial" w:cs="Arial"/>
                  <w:sz w:val="20"/>
                  <w:szCs w:val="20"/>
                </w:rPr>
                <w:t>National Disability Employment Framework Discussion Paper, DSS 2015</w:t>
              </w:r>
            </w:hyperlink>
          </w:p>
          <w:p w14:paraId="76E2EC2F" w14:textId="77777777" w:rsidR="005C32C3" w:rsidRPr="00534889" w:rsidRDefault="00A2638E" w:rsidP="00D66A26">
            <w:pPr>
              <w:pStyle w:val="ListParagraph"/>
              <w:numPr>
                <w:ilvl w:val="0"/>
                <w:numId w:val="24"/>
              </w:numPr>
              <w:spacing w:before="120" w:after="0" w:line="240" w:lineRule="auto"/>
              <w:rPr>
                <w:rFonts w:ascii="Arial" w:hAnsi="Arial" w:cs="Arial"/>
                <w:sz w:val="20"/>
                <w:szCs w:val="20"/>
              </w:rPr>
            </w:pPr>
            <w:hyperlink r:id="rId18" w:history="1">
              <w:r w:rsidR="005C32C3" w:rsidRPr="00534889">
                <w:rPr>
                  <w:rStyle w:val="Hyperlink"/>
                  <w:rFonts w:ascii="Arial" w:hAnsi="Arial" w:cs="Arial"/>
                  <w:sz w:val="20"/>
                  <w:szCs w:val="20"/>
                </w:rPr>
                <w:t>Disability Care and Support Inquiry Report, Productivity Commission, 2011</w:t>
              </w:r>
            </w:hyperlink>
          </w:p>
          <w:p w14:paraId="7A8BB7C3" w14:textId="71016F1A" w:rsidR="005C32C3" w:rsidRPr="00534889" w:rsidRDefault="00A2638E" w:rsidP="00D66A26">
            <w:pPr>
              <w:pStyle w:val="ListParagraph"/>
              <w:numPr>
                <w:ilvl w:val="0"/>
                <w:numId w:val="24"/>
              </w:numPr>
              <w:spacing w:before="120" w:after="0" w:line="240" w:lineRule="auto"/>
              <w:rPr>
                <w:rFonts w:ascii="Arial" w:hAnsi="Arial" w:cs="Arial"/>
                <w:sz w:val="20"/>
                <w:szCs w:val="20"/>
              </w:rPr>
            </w:pPr>
            <w:hyperlink r:id="rId19" w:history="1">
              <w:r w:rsidR="005C32C3" w:rsidRPr="00534889">
                <w:rPr>
                  <w:rStyle w:val="Hyperlink"/>
                  <w:rFonts w:ascii="Arial" w:hAnsi="Arial" w:cs="Arial"/>
                  <w:sz w:val="20"/>
                  <w:szCs w:val="20"/>
                </w:rPr>
                <w:t>A New System for Better Employment and Social Outcomes</w:t>
              </w:r>
            </w:hyperlink>
            <w:r w:rsidR="005C32C3" w:rsidRPr="00534889">
              <w:rPr>
                <w:rFonts w:ascii="Arial" w:hAnsi="Arial" w:cs="Arial"/>
                <w:sz w:val="20"/>
                <w:szCs w:val="20"/>
              </w:rPr>
              <w:t>, DSS 2015</w:t>
            </w:r>
          </w:p>
          <w:p w14:paraId="5F102803" w14:textId="3EC18AD6" w:rsidR="00213AEC" w:rsidRPr="00534889" w:rsidRDefault="00A2638E" w:rsidP="00D66A26">
            <w:pPr>
              <w:pStyle w:val="ListParagraph"/>
              <w:numPr>
                <w:ilvl w:val="0"/>
                <w:numId w:val="24"/>
              </w:numPr>
              <w:spacing w:before="120" w:after="0" w:line="240" w:lineRule="auto"/>
              <w:rPr>
                <w:rFonts w:ascii="Arial" w:hAnsi="Arial" w:cs="Arial"/>
                <w:sz w:val="20"/>
                <w:szCs w:val="20"/>
              </w:rPr>
            </w:pPr>
            <w:hyperlink r:id="rId20" w:history="1">
              <w:r w:rsidR="00213AEC" w:rsidRPr="00534889">
                <w:rPr>
                  <w:rStyle w:val="Hyperlink"/>
                  <w:rFonts w:ascii="Arial" w:hAnsi="Arial" w:cs="Arial"/>
                  <w:sz w:val="20"/>
                  <w:szCs w:val="20"/>
                </w:rPr>
                <w:t>Disability Standards for Education 2005 2020 Review</w:t>
              </w:r>
            </w:hyperlink>
          </w:p>
          <w:p w14:paraId="5D15BB3C" w14:textId="77777777" w:rsidR="005C32C3" w:rsidRPr="00534889" w:rsidRDefault="005C32C3" w:rsidP="00D66A26">
            <w:pPr>
              <w:pStyle w:val="ListParagraph"/>
              <w:spacing w:before="120" w:after="0" w:line="240" w:lineRule="auto"/>
              <w:ind w:left="360"/>
              <w:rPr>
                <w:rFonts w:ascii="Arial" w:hAnsi="Arial" w:cs="Arial"/>
                <w:sz w:val="20"/>
                <w:szCs w:val="20"/>
              </w:rPr>
            </w:pPr>
          </w:p>
          <w:p w14:paraId="25BCCF54" w14:textId="77777777" w:rsidR="005C32C3" w:rsidRPr="00534889" w:rsidRDefault="005C32C3" w:rsidP="00D66A26">
            <w:pPr>
              <w:spacing w:before="120" w:after="0" w:line="240" w:lineRule="auto"/>
              <w:rPr>
                <w:rFonts w:ascii="Arial" w:hAnsi="Arial" w:cs="Arial"/>
                <w:sz w:val="20"/>
                <w:szCs w:val="20"/>
              </w:rPr>
            </w:pPr>
          </w:p>
        </w:tc>
        <w:tc>
          <w:tcPr>
            <w:tcW w:w="4503" w:type="dxa"/>
          </w:tcPr>
          <w:p w14:paraId="576A9DE2" w14:textId="77777777" w:rsidR="005C32C3" w:rsidRPr="00534889" w:rsidRDefault="00A2638E" w:rsidP="00D66A26">
            <w:pPr>
              <w:pStyle w:val="ListParagraph"/>
              <w:numPr>
                <w:ilvl w:val="0"/>
                <w:numId w:val="24"/>
              </w:numPr>
              <w:spacing w:before="120" w:after="0" w:line="240" w:lineRule="auto"/>
              <w:rPr>
                <w:rFonts w:ascii="Arial" w:hAnsi="Arial" w:cs="Arial"/>
                <w:sz w:val="20"/>
                <w:szCs w:val="20"/>
              </w:rPr>
            </w:pPr>
            <w:hyperlink r:id="rId21" w:history="1">
              <w:r w:rsidR="005C32C3" w:rsidRPr="00534889">
                <w:rPr>
                  <w:rStyle w:val="Hyperlink"/>
                  <w:rFonts w:ascii="Arial" w:hAnsi="Arial" w:cs="Arial"/>
                  <w:sz w:val="20"/>
                  <w:szCs w:val="20"/>
                </w:rPr>
                <w:t>A Stronger Fairer Australia, Government of Australia, 2010</w:t>
              </w:r>
            </w:hyperlink>
          </w:p>
          <w:p w14:paraId="3037D52C" w14:textId="77777777" w:rsidR="005C32C3" w:rsidRPr="00534889" w:rsidRDefault="00A2638E" w:rsidP="00D66A26">
            <w:pPr>
              <w:pStyle w:val="ListParagraph"/>
              <w:numPr>
                <w:ilvl w:val="0"/>
                <w:numId w:val="24"/>
              </w:numPr>
              <w:spacing w:before="120" w:after="0" w:line="240" w:lineRule="auto"/>
              <w:rPr>
                <w:rFonts w:ascii="Arial" w:hAnsi="Arial" w:cs="Arial"/>
                <w:sz w:val="20"/>
                <w:szCs w:val="20"/>
              </w:rPr>
            </w:pPr>
            <w:hyperlink r:id="rId22" w:history="1">
              <w:r w:rsidR="005C32C3" w:rsidRPr="00534889">
                <w:rPr>
                  <w:rStyle w:val="Hyperlink"/>
                  <w:rFonts w:ascii="Arial" w:hAnsi="Arial" w:cs="Arial"/>
                  <w:sz w:val="20"/>
                  <w:szCs w:val="20"/>
                </w:rPr>
                <w:t>WORKability II: National Inquiry into Employment and Disability</w:t>
              </w:r>
            </w:hyperlink>
            <w:r w:rsidR="005C32C3" w:rsidRPr="00534889">
              <w:rPr>
                <w:rFonts w:ascii="Arial" w:hAnsi="Arial" w:cs="Arial"/>
                <w:sz w:val="20"/>
                <w:szCs w:val="20"/>
              </w:rPr>
              <w:t>, Australian Human Rights Commission 2005</w:t>
            </w:r>
          </w:p>
          <w:p w14:paraId="68F9CC4D" w14:textId="77777777" w:rsidR="005C32C3" w:rsidRPr="00534889" w:rsidRDefault="00A2638E" w:rsidP="00D66A26">
            <w:pPr>
              <w:pStyle w:val="ListParagraph"/>
              <w:numPr>
                <w:ilvl w:val="0"/>
                <w:numId w:val="24"/>
              </w:numPr>
              <w:spacing w:before="120" w:after="0" w:line="240" w:lineRule="auto"/>
              <w:rPr>
                <w:rFonts w:ascii="Arial" w:hAnsi="Arial" w:cs="Arial"/>
                <w:sz w:val="20"/>
                <w:szCs w:val="20"/>
              </w:rPr>
            </w:pPr>
            <w:hyperlink r:id="rId23" w:history="1">
              <w:r w:rsidR="005C32C3" w:rsidRPr="00534889">
                <w:rPr>
                  <w:rStyle w:val="Hyperlink"/>
                  <w:rFonts w:ascii="Arial" w:hAnsi="Arial" w:cs="Arial"/>
                  <w:sz w:val="20"/>
                  <w:szCs w:val="20"/>
                </w:rPr>
                <w:t>National Disability Strategy 2010-2020 report to COAG 2012</w:t>
              </w:r>
            </w:hyperlink>
          </w:p>
          <w:p w14:paraId="521FA593" w14:textId="77777777" w:rsidR="005C32C3" w:rsidRPr="00534889" w:rsidRDefault="005C32C3" w:rsidP="00D66A26">
            <w:pPr>
              <w:pStyle w:val="ListParagraph"/>
              <w:numPr>
                <w:ilvl w:val="0"/>
                <w:numId w:val="24"/>
              </w:numPr>
              <w:spacing w:before="120" w:after="0" w:line="240" w:lineRule="auto"/>
              <w:rPr>
                <w:rFonts w:ascii="Arial" w:hAnsi="Arial" w:cs="Arial"/>
                <w:sz w:val="20"/>
                <w:szCs w:val="20"/>
              </w:rPr>
            </w:pPr>
            <w:r w:rsidRPr="00534889">
              <w:rPr>
                <w:rFonts w:ascii="Arial" w:hAnsi="Arial" w:cs="Arial"/>
                <w:sz w:val="20"/>
                <w:szCs w:val="20"/>
              </w:rPr>
              <w:t xml:space="preserve">Laying the Groundwork 2011-2014, </w:t>
            </w:r>
            <w:r w:rsidRPr="00534889">
              <w:rPr>
                <w:rFonts w:ascii="Arial" w:hAnsi="Arial" w:cs="Arial"/>
                <w:color w:val="4D5156"/>
                <w:sz w:val="20"/>
                <w:szCs w:val="20"/>
                <w:shd w:val="clear" w:color="auto" w:fill="FFFFFF"/>
              </w:rPr>
              <w:t>FaHCSIA</w:t>
            </w:r>
            <w:r w:rsidRPr="00534889">
              <w:rPr>
                <w:rFonts w:ascii="Arial" w:hAnsi="Arial" w:cs="Arial"/>
                <w:sz w:val="20"/>
                <w:szCs w:val="20"/>
              </w:rPr>
              <w:t xml:space="preserve"> 2012</w:t>
            </w:r>
          </w:p>
          <w:p w14:paraId="231FDF0E" w14:textId="77777777" w:rsidR="005C32C3" w:rsidRPr="00534889" w:rsidRDefault="00A2638E" w:rsidP="00D66A26">
            <w:pPr>
              <w:pStyle w:val="ListParagraph"/>
              <w:numPr>
                <w:ilvl w:val="0"/>
                <w:numId w:val="24"/>
              </w:numPr>
              <w:spacing w:before="120" w:after="0" w:line="240" w:lineRule="auto"/>
              <w:rPr>
                <w:rFonts w:ascii="Arial" w:hAnsi="Arial" w:cs="Arial"/>
                <w:sz w:val="20"/>
                <w:szCs w:val="20"/>
              </w:rPr>
            </w:pPr>
            <w:hyperlink r:id="rId24" w:history="1">
              <w:r w:rsidR="005C32C3" w:rsidRPr="00534889">
                <w:rPr>
                  <w:rStyle w:val="Hyperlink"/>
                  <w:rFonts w:ascii="Arial" w:hAnsi="Arial" w:cs="Arial"/>
                  <w:sz w:val="20"/>
                  <w:szCs w:val="20"/>
                </w:rPr>
                <w:t>Shut Out Report, National People with Disabilities and Carers Council and FAHCSIA, 2009</w:t>
              </w:r>
            </w:hyperlink>
          </w:p>
          <w:p w14:paraId="18BCF015" w14:textId="77777777" w:rsidR="005C32C3" w:rsidRPr="00534889" w:rsidRDefault="00A2638E" w:rsidP="00D66A26">
            <w:pPr>
              <w:pStyle w:val="ListParagraph"/>
              <w:numPr>
                <w:ilvl w:val="0"/>
                <w:numId w:val="24"/>
              </w:numPr>
              <w:spacing w:before="120" w:after="0" w:line="240" w:lineRule="auto"/>
              <w:rPr>
                <w:rFonts w:ascii="Arial" w:hAnsi="Arial" w:cs="Arial"/>
                <w:sz w:val="20"/>
                <w:szCs w:val="20"/>
              </w:rPr>
            </w:pPr>
            <w:hyperlink r:id="rId25" w:history="1">
              <w:r w:rsidR="005C32C3" w:rsidRPr="00534889">
                <w:rPr>
                  <w:rStyle w:val="Hyperlink"/>
                  <w:rFonts w:ascii="Arial" w:hAnsi="Arial" w:cs="Arial"/>
                  <w:sz w:val="20"/>
                  <w:szCs w:val="20"/>
                </w:rPr>
                <w:t>National Mental Health &amp; Disability Employment Strategy</w:t>
              </w:r>
            </w:hyperlink>
            <w:r w:rsidR="005C32C3" w:rsidRPr="00534889">
              <w:rPr>
                <w:rFonts w:ascii="Arial" w:hAnsi="Arial" w:cs="Arial"/>
                <w:sz w:val="20"/>
                <w:szCs w:val="20"/>
              </w:rPr>
              <w:t>, DEEWR, 2008</w:t>
            </w:r>
          </w:p>
          <w:p w14:paraId="235320DC" w14:textId="77777777" w:rsidR="005C32C3" w:rsidRPr="00534889" w:rsidRDefault="00A2638E" w:rsidP="00D66A26">
            <w:pPr>
              <w:pStyle w:val="ListParagraph"/>
              <w:numPr>
                <w:ilvl w:val="0"/>
                <w:numId w:val="24"/>
              </w:numPr>
              <w:spacing w:before="120" w:after="0" w:line="240" w:lineRule="auto"/>
              <w:rPr>
                <w:rFonts w:ascii="Arial" w:hAnsi="Arial" w:cs="Arial"/>
                <w:sz w:val="20"/>
                <w:szCs w:val="20"/>
              </w:rPr>
            </w:pPr>
            <w:hyperlink r:id="rId26" w:anchor=":~:text=Through...-,In%20entering%20this%20Agreement%2C%20the%20Commonwealth%20and%20the%20States%20and,to%20further%20education%2C%20training%20or" w:history="1">
              <w:r w:rsidR="005C32C3" w:rsidRPr="00534889">
                <w:rPr>
                  <w:rStyle w:val="Hyperlink"/>
                  <w:rFonts w:ascii="Arial" w:hAnsi="Arial" w:cs="Arial"/>
                  <w:sz w:val="20"/>
                  <w:szCs w:val="20"/>
                </w:rPr>
                <w:t>The National Partnership on Youth Attainment and Transitions 2009</w:t>
              </w:r>
            </w:hyperlink>
            <w:r w:rsidR="005C32C3" w:rsidRPr="00534889">
              <w:rPr>
                <w:rFonts w:ascii="Arial" w:hAnsi="Arial" w:cs="Arial"/>
                <w:sz w:val="20"/>
                <w:szCs w:val="20"/>
              </w:rPr>
              <w:t xml:space="preserve"> and </w:t>
            </w:r>
          </w:p>
          <w:p w14:paraId="40A9D168" w14:textId="72E07329" w:rsidR="005C32C3" w:rsidRPr="00856144" w:rsidRDefault="00A2638E" w:rsidP="00856144">
            <w:pPr>
              <w:pStyle w:val="ListParagraph"/>
              <w:numPr>
                <w:ilvl w:val="0"/>
                <w:numId w:val="24"/>
              </w:numPr>
              <w:spacing w:before="120" w:after="0" w:line="240" w:lineRule="auto"/>
              <w:rPr>
                <w:rFonts w:ascii="Arial" w:hAnsi="Arial" w:cs="Arial"/>
                <w:sz w:val="20"/>
                <w:szCs w:val="20"/>
              </w:rPr>
            </w:pPr>
            <w:hyperlink r:id="rId27" w:history="1">
              <w:r w:rsidR="005C32C3" w:rsidRPr="00534889">
                <w:rPr>
                  <w:rStyle w:val="Hyperlink"/>
                  <w:rFonts w:ascii="Arial" w:hAnsi="Arial" w:cs="Arial"/>
                  <w:sz w:val="20"/>
                  <w:szCs w:val="20"/>
                </w:rPr>
                <w:t>Evaluation of the National Partnership on Youth Attainment and Transitions</w:t>
              </w:r>
            </w:hyperlink>
            <w:r w:rsidR="005C32C3" w:rsidRPr="00534889">
              <w:rPr>
                <w:rFonts w:ascii="Arial" w:hAnsi="Arial" w:cs="Arial"/>
                <w:color w:val="031E52"/>
                <w:sz w:val="20"/>
                <w:szCs w:val="20"/>
              </w:rPr>
              <w:t xml:space="preserve"> 2014</w:t>
            </w:r>
          </w:p>
        </w:tc>
      </w:tr>
    </w:tbl>
    <w:p w14:paraId="01008E18" w14:textId="38A78889" w:rsidR="00E3704A" w:rsidRPr="00280CF5" w:rsidRDefault="00E3704A" w:rsidP="00280CF5">
      <w:pPr>
        <w:spacing w:after="0" w:line="240" w:lineRule="auto"/>
        <w:rPr>
          <w:rFonts w:ascii="Arial" w:hAnsi="Arial" w:cs="Arial"/>
          <w:color w:val="auto"/>
          <w:sz w:val="24"/>
        </w:rPr>
      </w:pPr>
      <w:r w:rsidRPr="00820E6E">
        <w:rPr>
          <w:rFonts w:ascii="Arial" w:hAnsi="Arial" w:cs="Arial"/>
          <w:sz w:val="24"/>
        </w:rPr>
        <w:t>The right to work and gain a living is enshrined in article 27 in the Convention on the Rights of Persons with Disabilities (United Nations, 2007).</w:t>
      </w:r>
      <w:r w:rsidR="008D37DE" w:rsidRPr="00820E6E">
        <w:rPr>
          <w:rStyle w:val="FootnoteReference"/>
          <w:rFonts w:ascii="Arial" w:hAnsi="Arial" w:cs="Arial"/>
          <w:sz w:val="24"/>
        </w:rPr>
        <w:footnoteReference w:id="18"/>
      </w:r>
      <w:r w:rsidRPr="00820E6E">
        <w:rPr>
          <w:rFonts w:ascii="Arial" w:hAnsi="Arial" w:cs="Arial"/>
          <w:sz w:val="24"/>
        </w:rPr>
        <w:t xml:space="preserve"> </w:t>
      </w:r>
      <w:r w:rsidR="00F97ECD" w:rsidRPr="00820E6E">
        <w:rPr>
          <w:rFonts w:ascii="Arial" w:hAnsi="Arial" w:cs="Arial"/>
          <w:sz w:val="24"/>
        </w:rPr>
        <w:t>The Convention stipulates that “Learners with disabilities receive the support to ensure the effective transition from learning at school to vocational and tertiary education, and finally to work.”</w:t>
      </w:r>
      <w:r w:rsidR="00856144">
        <w:rPr>
          <w:rFonts w:ascii="Arial" w:hAnsi="Arial" w:cs="Arial"/>
          <w:sz w:val="24"/>
        </w:rPr>
        <w:t xml:space="preserve"> </w:t>
      </w:r>
      <w:r w:rsidR="00856144">
        <w:rPr>
          <w:rStyle w:val="FootnoteReference"/>
          <w:rFonts w:ascii="Arial" w:hAnsi="Arial" w:cs="Arial"/>
          <w:sz w:val="24"/>
        </w:rPr>
        <w:footnoteReference w:id="19"/>
      </w:r>
      <w:r w:rsidR="00D41369" w:rsidRPr="00D41369">
        <w:rPr>
          <w:rFonts w:ascii="Arial" w:hAnsi="Arial" w:cs="Arial"/>
          <w:sz w:val="24"/>
        </w:rPr>
        <w:t xml:space="preserve"> </w:t>
      </w:r>
      <w:r w:rsidR="00D41369" w:rsidRPr="00820E6E">
        <w:rPr>
          <w:rFonts w:ascii="Arial" w:hAnsi="Arial" w:cs="Arial"/>
          <w:sz w:val="24"/>
        </w:rPr>
        <w:t>The National Disability Strategy identified the need for a high quality program designed to facilitate a smooth transition from education to employment.</w:t>
      </w:r>
      <w:r w:rsidR="00D41369">
        <w:rPr>
          <w:rStyle w:val="FootnoteReference"/>
          <w:rFonts w:ascii="Arial" w:hAnsi="Arial" w:cs="Arial"/>
          <w:sz w:val="24"/>
        </w:rPr>
        <w:footnoteReference w:id="20"/>
      </w:r>
    </w:p>
    <w:p w14:paraId="1B0B5239" w14:textId="39601672" w:rsidR="008261CA" w:rsidRPr="00820E6E" w:rsidRDefault="008F114E" w:rsidP="003078E5">
      <w:pPr>
        <w:spacing w:before="240" w:after="0" w:line="259" w:lineRule="auto"/>
        <w:rPr>
          <w:rFonts w:ascii="Arial" w:hAnsi="Arial" w:cs="Arial"/>
          <w:sz w:val="24"/>
        </w:rPr>
      </w:pPr>
      <w:r>
        <w:rPr>
          <w:rFonts w:ascii="Arial" w:hAnsi="Arial" w:cs="Arial"/>
          <w:sz w:val="24"/>
        </w:rPr>
        <w:t>Yet f</w:t>
      </w:r>
      <w:r w:rsidR="008D37DE" w:rsidRPr="00820E6E">
        <w:rPr>
          <w:rFonts w:ascii="Arial" w:hAnsi="Arial" w:cs="Arial"/>
          <w:sz w:val="24"/>
        </w:rPr>
        <w:t xml:space="preserve">rom an Australian perspective, transition to employment support systems </w:t>
      </w:r>
      <w:r w:rsidR="00D41369">
        <w:rPr>
          <w:rFonts w:ascii="Arial" w:hAnsi="Arial" w:cs="Arial"/>
          <w:sz w:val="24"/>
        </w:rPr>
        <w:t>is</w:t>
      </w:r>
      <w:r w:rsidR="00D41369" w:rsidRPr="00820E6E">
        <w:rPr>
          <w:rFonts w:ascii="Arial" w:hAnsi="Arial" w:cs="Arial"/>
          <w:sz w:val="24"/>
        </w:rPr>
        <w:t xml:space="preserve"> </w:t>
      </w:r>
      <w:r w:rsidR="008D37DE" w:rsidRPr="00820E6E">
        <w:rPr>
          <w:rFonts w:ascii="Arial" w:hAnsi="Arial" w:cs="Arial"/>
          <w:sz w:val="24"/>
        </w:rPr>
        <w:t>failing young people with disability, resulting in reduced opportunity for social and economic participation and the marginalisation of this group</w:t>
      </w:r>
      <w:r w:rsidR="004C15C0">
        <w:rPr>
          <w:rFonts w:ascii="Arial" w:hAnsi="Arial" w:cs="Arial"/>
          <w:sz w:val="24"/>
        </w:rPr>
        <w:t>.</w:t>
      </w:r>
      <w:r w:rsidR="004C15C0">
        <w:rPr>
          <w:rStyle w:val="FootnoteReference"/>
          <w:rFonts w:ascii="Arial" w:hAnsi="Arial" w:cs="Arial"/>
          <w:sz w:val="24"/>
        </w:rPr>
        <w:footnoteReference w:id="21"/>
      </w:r>
      <w:r w:rsidR="008D37DE" w:rsidRPr="00820E6E">
        <w:rPr>
          <w:rFonts w:ascii="Arial" w:hAnsi="Arial" w:cs="Arial"/>
          <w:sz w:val="24"/>
        </w:rPr>
        <w:t xml:space="preserve">  </w:t>
      </w:r>
    </w:p>
    <w:p w14:paraId="5086506A" w14:textId="5883F122" w:rsidR="00251B4E" w:rsidRPr="00820E6E" w:rsidRDefault="00251B4E" w:rsidP="00251B4E">
      <w:pPr>
        <w:spacing w:before="240" w:after="0" w:line="259" w:lineRule="auto"/>
        <w:jc w:val="both"/>
        <w:rPr>
          <w:rFonts w:ascii="Arial" w:hAnsi="Arial" w:cs="Arial"/>
          <w:sz w:val="24"/>
          <w:lang w:eastAsia="de-DE"/>
        </w:rPr>
      </w:pPr>
      <w:r w:rsidRPr="00820E6E">
        <w:rPr>
          <w:rFonts w:ascii="Arial" w:hAnsi="Arial" w:cs="Arial"/>
          <w:sz w:val="24"/>
          <w:lang w:eastAsia="de-DE"/>
        </w:rPr>
        <w:t xml:space="preserve">The Transition to Work initiative was developed </w:t>
      </w:r>
      <w:r w:rsidR="00560D8D">
        <w:rPr>
          <w:rFonts w:ascii="Arial" w:hAnsi="Arial" w:cs="Arial"/>
          <w:sz w:val="24"/>
          <w:lang w:eastAsia="de-DE"/>
        </w:rPr>
        <w:t xml:space="preserve">in </w:t>
      </w:r>
      <w:r w:rsidRPr="00820E6E">
        <w:rPr>
          <w:rFonts w:ascii="Arial" w:hAnsi="Arial" w:cs="Arial"/>
          <w:sz w:val="24"/>
          <w:lang w:eastAsia="de-DE"/>
        </w:rPr>
        <w:t xml:space="preserve">recognition that employment programs designed for adults are not ‘fit for purpose’ for young people. </w:t>
      </w:r>
      <w:r w:rsidR="00CC55CC">
        <w:rPr>
          <w:rFonts w:ascii="Arial" w:hAnsi="Arial" w:cs="Arial"/>
          <w:sz w:val="24"/>
          <w:lang w:eastAsia="de-DE"/>
        </w:rPr>
        <w:t>Within</w:t>
      </w:r>
      <w:r w:rsidR="00D41369">
        <w:rPr>
          <w:rFonts w:ascii="Arial" w:hAnsi="Arial" w:cs="Arial"/>
          <w:sz w:val="24"/>
          <w:lang w:eastAsia="de-DE"/>
        </w:rPr>
        <w:t xml:space="preserve"> the general cohort, y</w:t>
      </w:r>
      <w:r w:rsidRPr="00820E6E">
        <w:rPr>
          <w:rFonts w:ascii="Arial" w:hAnsi="Arial" w:cs="Arial"/>
          <w:sz w:val="24"/>
          <w:lang w:eastAsia="de-DE"/>
        </w:rPr>
        <w:t>oung people with disability</w:t>
      </w:r>
      <w:r w:rsidR="00AD7557" w:rsidRPr="00820E6E">
        <w:rPr>
          <w:rFonts w:ascii="Arial" w:hAnsi="Arial" w:cs="Arial"/>
          <w:sz w:val="24"/>
          <w:lang w:eastAsia="de-DE"/>
        </w:rPr>
        <w:t xml:space="preserve"> need tailored young and disability specific employment supports</w:t>
      </w:r>
      <w:r w:rsidRPr="00820E6E">
        <w:rPr>
          <w:rFonts w:ascii="Arial" w:hAnsi="Arial" w:cs="Arial"/>
          <w:sz w:val="24"/>
          <w:lang w:eastAsia="de-DE"/>
        </w:rPr>
        <w:t xml:space="preserve">. </w:t>
      </w:r>
    </w:p>
    <w:p w14:paraId="2A61D037" w14:textId="77777777" w:rsidR="00F31918" w:rsidRPr="00820E6E" w:rsidRDefault="00F31918" w:rsidP="00F31918">
      <w:pPr>
        <w:spacing w:before="240" w:after="0" w:line="259" w:lineRule="auto"/>
        <w:rPr>
          <w:rFonts w:ascii="Arial" w:hAnsi="Arial" w:cs="Arial"/>
          <w:sz w:val="24"/>
        </w:rPr>
      </w:pPr>
      <w:r w:rsidRPr="00820E6E">
        <w:rPr>
          <w:rFonts w:ascii="Arial" w:hAnsi="Arial" w:cs="Arial"/>
          <w:sz w:val="24"/>
        </w:rPr>
        <w:lastRenderedPageBreak/>
        <w:t>Young Australians with disability have similar career and financial aspirations to other young people, yet are more than twice as likely not to be employed or satisfied with their employment opportunities and job prospects. During the transition from school, young people often encounter great uncertainties and tremendous developmental challenges. These issues may be more stressful with the presence of a disability, thereby increasing the risk of social exclusion amongst young people transitioning who have a disability (Kraemer &amp; Blacher, 2001; Winn &amp; Hay, 2009; Yu, 2009).</w:t>
      </w:r>
    </w:p>
    <w:p w14:paraId="057D9EE8" w14:textId="57135E98" w:rsidR="00F31918" w:rsidRPr="00820E6E" w:rsidRDefault="00F31918" w:rsidP="00F31918">
      <w:pPr>
        <w:spacing w:before="240" w:after="0" w:line="259" w:lineRule="auto"/>
        <w:rPr>
          <w:rFonts w:ascii="Arial" w:hAnsi="Arial" w:cs="Arial"/>
          <w:sz w:val="24"/>
        </w:rPr>
      </w:pPr>
      <w:r w:rsidRPr="00820E6E">
        <w:rPr>
          <w:rFonts w:ascii="Arial" w:hAnsi="Arial" w:cs="Arial"/>
          <w:sz w:val="24"/>
        </w:rPr>
        <w:t xml:space="preserve">Having a job is a key aspect of adulthood and significant in facilitating social participation, financial stability, self-worth, and quality of life (Jahoda et al, 2009; Lövgren et al, 2014). </w:t>
      </w:r>
    </w:p>
    <w:p w14:paraId="775621C4" w14:textId="69288990" w:rsidR="00F31918" w:rsidRPr="00820E6E" w:rsidRDefault="00D41369" w:rsidP="00F31918">
      <w:pPr>
        <w:spacing w:before="240" w:after="0" w:line="259" w:lineRule="auto"/>
        <w:rPr>
          <w:rFonts w:ascii="Arial" w:hAnsi="Arial" w:cs="Arial"/>
          <w:sz w:val="24"/>
        </w:rPr>
      </w:pPr>
      <w:r w:rsidRPr="009F6481">
        <w:rPr>
          <w:rFonts w:ascii="Arial" w:hAnsi="Arial" w:cs="Arial"/>
          <w:sz w:val="24"/>
        </w:rPr>
        <w:t>Children and Young People with Disability Australia (CYDA)</w:t>
      </w:r>
      <w:r w:rsidR="00F31918" w:rsidRPr="009F6481">
        <w:rPr>
          <w:rFonts w:ascii="Arial" w:hAnsi="Arial" w:cs="Arial"/>
          <w:sz w:val="24"/>
        </w:rPr>
        <w:t xml:space="preserve"> states in </w:t>
      </w:r>
      <w:r w:rsidRPr="009F6481">
        <w:rPr>
          <w:rFonts w:ascii="Arial" w:hAnsi="Arial" w:cs="Arial"/>
          <w:sz w:val="24"/>
        </w:rPr>
        <w:t xml:space="preserve">its </w:t>
      </w:r>
      <w:r w:rsidR="00F31918" w:rsidRPr="009F6481">
        <w:rPr>
          <w:rFonts w:ascii="Arial" w:hAnsi="Arial" w:cs="Arial"/>
          <w:sz w:val="24"/>
        </w:rPr>
        <w:t>recent submission</w:t>
      </w:r>
      <w:r w:rsidR="00AC226B" w:rsidRPr="009F6481">
        <w:rPr>
          <w:rFonts w:ascii="Arial" w:hAnsi="Arial" w:cs="Arial"/>
          <w:sz w:val="24"/>
        </w:rPr>
        <w:t>:</w:t>
      </w:r>
      <w:r w:rsidR="00F31918" w:rsidRPr="009F6481">
        <w:rPr>
          <w:rFonts w:ascii="Arial" w:hAnsi="Arial" w:cs="Arial"/>
          <w:sz w:val="24"/>
        </w:rPr>
        <w:t xml:space="preserve"> </w:t>
      </w:r>
      <w:r w:rsidR="004D2405" w:rsidRPr="009F6481">
        <w:rPr>
          <w:rFonts w:ascii="Arial" w:hAnsi="Arial" w:cs="Arial"/>
          <w:sz w:val="24"/>
        </w:rPr>
        <w:t>“</w:t>
      </w:r>
      <w:r w:rsidR="00F31918" w:rsidRPr="009F6481">
        <w:rPr>
          <w:rFonts w:ascii="Arial" w:hAnsi="Arial" w:cs="Arial"/>
          <w:sz w:val="24"/>
        </w:rPr>
        <w:t>Tinkering around the edges of existing employment programs is money wasted unless proper government investment is dedicated to understanding what works and developing a coordinated, evidence-based approach</w:t>
      </w:r>
      <w:r w:rsidR="004D2405" w:rsidRPr="009F6481">
        <w:rPr>
          <w:rFonts w:ascii="Arial" w:hAnsi="Arial" w:cs="Arial"/>
          <w:sz w:val="24"/>
        </w:rPr>
        <w:t>”</w:t>
      </w:r>
      <w:r w:rsidR="00F31918" w:rsidRPr="009F6481">
        <w:rPr>
          <w:rFonts w:ascii="Arial" w:hAnsi="Arial" w:cs="Arial"/>
          <w:sz w:val="24"/>
        </w:rPr>
        <w:t xml:space="preserve">.  </w:t>
      </w:r>
      <w:r w:rsidR="00F31918" w:rsidRPr="009F6481">
        <w:rPr>
          <w:rStyle w:val="FootnoteReference"/>
          <w:rFonts w:ascii="Arial" w:hAnsi="Arial" w:cs="Arial"/>
          <w:sz w:val="24"/>
        </w:rPr>
        <w:footnoteReference w:id="22"/>
      </w:r>
    </w:p>
    <w:p w14:paraId="73AA86FB" w14:textId="7F470734" w:rsidR="00AD7557" w:rsidRPr="00AD7557" w:rsidRDefault="00AD7557" w:rsidP="003078E5">
      <w:pPr>
        <w:spacing w:before="240" w:after="0" w:line="259" w:lineRule="auto"/>
        <w:rPr>
          <w:rFonts w:ascii="Arial" w:hAnsi="Arial" w:cs="Arial"/>
          <w:b/>
          <w:bCs/>
          <w:sz w:val="24"/>
        </w:rPr>
      </w:pPr>
      <w:r w:rsidRPr="00AD7557">
        <w:rPr>
          <w:rFonts w:ascii="Arial" w:hAnsi="Arial" w:cs="Arial"/>
          <w:b/>
          <w:bCs/>
          <w:sz w:val="24"/>
        </w:rPr>
        <w:t xml:space="preserve">What we need </w:t>
      </w:r>
    </w:p>
    <w:p w14:paraId="76EAB0B5" w14:textId="4E051FB1" w:rsidR="00AC226B" w:rsidRDefault="00AD7557" w:rsidP="00890EE3">
      <w:pPr>
        <w:spacing w:before="240" w:after="0" w:line="259" w:lineRule="auto"/>
        <w:rPr>
          <w:rFonts w:ascii="Arial" w:hAnsi="Arial" w:cs="Arial"/>
          <w:sz w:val="24"/>
        </w:rPr>
      </w:pPr>
      <w:r>
        <w:rPr>
          <w:rFonts w:ascii="Arial" w:hAnsi="Arial" w:cs="Arial"/>
          <w:sz w:val="24"/>
        </w:rPr>
        <w:t>A</w:t>
      </w:r>
      <w:r w:rsidRPr="00AD7557">
        <w:rPr>
          <w:rFonts w:ascii="Arial" w:hAnsi="Arial" w:cs="Arial"/>
          <w:sz w:val="24"/>
        </w:rPr>
        <w:t xml:space="preserve"> report tabled </w:t>
      </w:r>
      <w:r w:rsidR="00820E6E">
        <w:rPr>
          <w:rFonts w:ascii="Arial" w:hAnsi="Arial" w:cs="Arial"/>
          <w:sz w:val="24"/>
        </w:rPr>
        <w:t>at the D</w:t>
      </w:r>
      <w:r>
        <w:rPr>
          <w:rFonts w:ascii="Arial" w:hAnsi="Arial" w:cs="Arial"/>
          <w:sz w:val="24"/>
        </w:rPr>
        <w:t xml:space="preserve">isability </w:t>
      </w:r>
      <w:r w:rsidR="00890EE3">
        <w:rPr>
          <w:rFonts w:ascii="Arial" w:hAnsi="Arial" w:cs="Arial"/>
          <w:sz w:val="24"/>
        </w:rPr>
        <w:t>Royal</w:t>
      </w:r>
      <w:r>
        <w:rPr>
          <w:rFonts w:ascii="Arial" w:hAnsi="Arial" w:cs="Arial"/>
          <w:sz w:val="24"/>
        </w:rPr>
        <w:t xml:space="preserve"> </w:t>
      </w:r>
      <w:r w:rsidR="00890EE3" w:rsidRPr="00820E6E">
        <w:rPr>
          <w:rFonts w:ascii="Arial" w:hAnsi="Arial" w:cs="Arial"/>
          <w:sz w:val="24"/>
        </w:rPr>
        <w:t>Commission</w:t>
      </w:r>
      <w:r w:rsidRPr="00820E6E">
        <w:rPr>
          <w:rFonts w:ascii="Arial" w:hAnsi="Arial" w:cs="Arial"/>
          <w:color w:val="313131"/>
          <w:sz w:val="24"/>
          <w:shd w:val="clear" w:color="auto" w:fill="FFFFFF"/>
        </w:rPr>
        <w:t xml:space="preserve"> revealed that</w:t>
      </w:r>
      <w:r w:rsidRPr="00820E6E">
        <w:rPr>
          <w:rFonts w:ascii="Arial" w:hAnsi="Arial" w:cs="Arial"/>
          <w:sz w:val="24"/>
        </w:rPr>
        <w:t xml:space="preserve"> for people with disability, at each step of the transition from education to work there was generally a downward bias away from ‘best-practice’ services towards ‘compliance</w:t>
      </w:r>
      <w:r w:rsidRPr="00AD7557">
        <w:rPr>
          <w:rFonts w:ascii="Arial" w:hAnsi="Arial" w:cs="Arial"/>
          <w:sz w:val="24"/>
        </w:rPr>
        <w:t xml:space="preserve">-driven’ service providers. There were few forces </w:t>
      </w:r>
      <w:r w:rsidR="00AC226B">
        <w:rPr>
          <w:rFonts w:ascii="Arial" w:hAnsi="Arial" w:cs="Arial"/>
          <w:sz w:val="24"/>
        </w:rPr>
        <w:t>direct</w:t>
      </w:r>
      <w:r w:rsidR="00AC226B" w:rsidRPr="00AD7557">
        <w:rPr>
          <w:rFonts w:ascii="Arial" w:hAnsi="Arial" w:cs="Arial"/>
          <w:sz w:val="24"/>
        </w:rPr>
        <w:t xml:space="preserve">ing </w:t>
      </w:r>
      <w:r w:rsidRPr="00AD7557">
        <w:rPr>
          <w:rFonts w:ascii="Arial" w:hAnsi="Arial" w:cs="Arial"/>
          <w:sz w:val="24"/>
        </w:rPr>
        <w:t>individuals into the ‘best-practice’ flows</w:t>
      </w:r>
      <w:r w:rsidR="00AC226B">
        <w:rPr>
          <w:rFonts w:ascii="Arial" w:hAnsi="Arial" w:cs="Arial"/>
          <w:sz w:val="24"/>
        </w:rPr>
        <w:t>.</w:t>
      </w:r>
      <w:r w:rsidRPr="00AD7557">
        <w:rPr>
          <w:rFonts w:ascii="Arial" w:hAnsi="Arial" w:cs="Arial"/>
          <w:sz w:val="24"/>
        </w:rPr>
        <w:t xml:space="preserve"> ‘Good leadership as well as appropriately resourced professionals are both required for high quality services (and instances of both were limited)’. </w:t>
      </w:r>
      <w:r w:rsidRPr="00AD7557">
        <w:rPr>
          <w:rStyle w:val="FootnoteReference"/>
          <w:rFonts w:ascii="Arial" w:hAnsi="Arial" w:cs="Arial"/>
          <w:sz w:val="24"/>
        </w:rPr>
        <w:footnoteReference w:id="23"/>
      </w:r>
      <w:r w:rsidR="00F31918">
        <w:rPr>
          <w:rFonts w:ascii="Arial" w:hAnsi="Arial" w:cs="Arial"/>
          <w:sz w:val="24"/>
        </w:rPr>
        <w:t xml:space="preserve"> </w:t>
      </w:r>
    </w:p>
    <w:p w14:paraId="51FB0FBE" w14:textId="132B15A9" w:rsidR="006B1D67" w:rsidRDefault="00F31918" w:rsidP="00890EE3">
      <w:pPr>
        <w:spacing w:before="240" w:after="0" w:line="259" w:lineRule="auto"/>
        <w:rPr>
          <w:rFonts w:ascii="Arial" w:hAnsi="Arial" w:cs="Arial"/>
          <w:sz w:val="24"/>
        </w:rPr>
      </w:pPr>
      <w:r>
        <w:rPr>
          <w:rFonts w:ascii="Arial" w:hAnsi="Arial" w:cs="Arial"/>
          <w:sz w:val="24"/>
        </w:rPr>
        <w:t>We need to turn this around</w:t>
      </w:r>
      <w:r w:rsidR="006B1D67">
        <w:rPr>
          <w:rFonts w:ascii="Arial" w:hAnsi="Arial" w:cs="Arial"/>
          <w:sz w:val="24"/>
        </w:rPr>
        <w:t>.</w:t>
      </w:r>
    </w:p>
    <w:p w14:paraId="4F921274" w14:textId="77777777" w:rsidR="006B1D67" w:rsidRDefault="006B1D67" w:rsidP="006B1D67">
      <w:pPr>
        <w:spacing w:before="240" w:after="0" w:line="259" w:lineRule="auto"/>
        <w:rPr>
          <w:rFonts w:ascii="Arial" w:hAnsi="Arial" w:cs="Arial"/>
          <w:sz w:val="24"/>
        </w:rPr>
      </w:pPr>
      <w:r>
        <w:rPr>
          <w:rFonts w:ascii="Arial" w:hAnsi="Arial" w:cs="Arial"/>
          <w:sz w:val="24"/>
        </w:rPr>
        <w:t xml:space="preserve">Australia needs </w:t>
      </w:r>
      <w:r w:rsidRPr="00AD7557">
        <w:rPr>
          <w:rFonts w:ascii="Arial" w:hAnsi="Arial" w:cs="Arial"/>
          <w:sz w:val="24"/>
        </w:rPr>
        <w:t>a youth specific</w:t>
      </w:r>
      <w:r>
        <w:rPr>
          <w:rFonts w:ascii="Arial" w:hAnsi="Arial" w:cs="Arial"/>
          <w:sz w:val="24"/>
        </w:rPr>
        <w:t>,</w:t>
      </w:r>
      <w:r w:rsidRPr="00AD7557">
        <w:rPr>
          <w:rFonts w:ascii="Arial" w:hAnsi="Arial" w:cs="Arial"/>
          <w:sz w:val="24"/>
        </w:rPr>
        <w:t xml:space="preserve"> evidence-based employment support </w:t>
      </w:r>
      <w:r>
        <w:rPr>
          <w:rFonts w:ascii="Arial" w:hAnsi="Arial" w:cs="Arial"/>
          <w:sz w:val="24"/>
        </w:rPr>
        <w:t xml:space="preserve">program </w:t>
      </w:r>
      <w:r w:rsidRPr="00AD7557">
        <w:rPr>
          <w:rFonts w:ascii="Arial" w:hAnsi="Arial" w:cs="Arial"/>
          <w:sz w:val="24"/>
        </w:rPr>
        <w:t xml:space="preserve">to assist </w:t>
      </w:r>
      <w:r>
        <w:rPr>
          <w:rFonts w:ascii="Arial" w:hAnsi="Arial" w:cs="Arial"/>
          <w:sz w:val="24"/>
        </w:rPr>
        <w:t xml:space="preserve">young people with disability </w:t>
      </w:r>
      <w:r w:rsidRPr="00AD7557">
        <w:rPr>
          <w:rFonts w:ascii="Arial" w:hAnsi="Arial" w:cs="Arial"/>
          <w:sz w:val="24"/>
        </w:rPr>
        <w:t>transition from school</w:t>
      </w:r>
      <w:r>
        <w:rPr>
          <w:rFonts w:ascii="Arial" w:hAnsi="Arial" w:cs="Arial"/>
          <w:sz w:val="24"/>
        </w:rPr>
        <w:t xml:space="preserve"> to </w:t>
      </w:r>
      <w:r w:rsidRPr="00AD7557">
        <w:rPr>
          <w:rFonts w:ascii="Arial" w:hAnsi="Arial" w:cs="Arial"/>
          <w:sz w:val="24"/>
        </w:rPr>
        <w:t xml:space="preserve">further education and training and ultimately </w:t>
      </w:r>
      <w:r>
        <w:rPr>
          <w:rFonts w:ascii="Arial" w:hAnsi="Arial" w:cs="Arial"/>
          <w:sz w:val="24"/>
        </w:rPr>
        <w:t xml:space="preserve">into </w:t>
      </w:r>
      <w:r w:rsidRPr="00AD7557">
        <w:rPr>
          <w:rFonts w:ascii="Arial" w:hAnsi="Arial" w:cs="Arial"/>
          <w:sz w:val="24"/>
        </w:rPr>
        <w:t xml:space="preserve">work.  </w:t>
      </w:r>
    </w:p>
    <w:p w14:paraId="31DAD7E4" w14:textId="77777777" w:rsidR="006B1D67" w:rsidRDefault="006B1D67" w:rsidP="006B1D67">
      <w:pPr>
        <w:spacing w:before="240" w:after="0" w:line="259" w:lineRule="auto"/>
        <w:rPr>
          <w:rFonts w:ascii="Arial" w:hAnsi="Arial" w:cs="Arial"/>
          <w:b/>
          <w:sz w:val="24"/>
          <w:lang w:eastAsia="de-DE"/>
        </w:rPr>
      </w:pPr>
      <w:r>
        <w:rPr>
          <w:rFonts w:ascii="Arial" w:hAnsi="Arial" w:cs="Arial"/>
          <w:sz w:val="24"/>
        </w:rPr>
        <w:t>This support needs to be adequately resourced and staffed by professionals with an understanding of needs of young people with disability.</w:t>
      </w:r>
    </w:p>
    <w:p w14:paraId="339900F3" w14:textId="77777777" w:rsidR="006B1D67" w:rsidRPr="00E32558" w:rsidRDefault="006B1D67" w:rsidP="006B1D67">
      <w:pPr>
        <w:spacing w:before="240" w:after="0" w:line="259" w:lineRule="auto"/>
        <w:rPr>
          <w:rFonts w:ascii="Arial" w:hAnsi="Arial" w:cs="Arial"/>
          <w:bCs/>
          <w:sz w:val="24"/>
          <w:lang w:eastAsia="de-DE"/>
        </w:rPr>
      </w:pPr>
      <w:r>
        <w:rPr>
          <w:rFonts w:ascii="Arial" w:hAnsi="Arial" w:cs="Arial"/>
          <w:bCs/>
          <w:sz w:val="24"/>
          <w:lang w:eastAsia="de-DE"/>
        </w:rPr>
        <w:t xml:space="preserve">Transition To Work should be enhanced as a primary vehicle for such support.  </w:t>
      </w:r>
    </w:p>
    <w:p w14:paraId="24739EE4" w14:textId="6C501A37" w:rsidR="00F31918" w:rsidRPr="001576C3" w:rsidRDefault="006B1D67" w:rsidP="001576C3">
      <w:pPr>
        <w:spacing w:before="240" w:after="0" w:line="259" w:lineRule="auto"/>
        <w:rPr>
          <w:rStyle w:val="Hyperlink"/>
          <w:rFonts w:ascii="Arial" w:hAnsi="Arial" w:cs="Arial"/>
          <w:color w:val="000000" w:themeColor="text1"/>
          <w:sz w:val="24"/>
          <w:u w:val="none"/>
        </w:rPr>
      </w:pPr>
      <w:r>
        <w:rPr>
          <w:rFonts w:ascii="Arial" w:hAnsi="Arial" w:cs="Arial"/>
          <w:sz w:val="24"/>
        </w:rPr>
        <w:lastRenderedPageBreak/>
        <w:t>It is clear what needs to be done as t</w:t>
      </w:r>
      <w:r w:rsidR="00890EE3" w:rsidRPr="00F2771B">
        <w:rPr>
          <w:rFonts w:ascii="Arial" w:hAnsi="Arial" w:cs="Arial"/>
          <w:sz w:val="24"/>
        </w:rPr>
        <w:t>here is</w:t>
      </w:r>
      <w:r>
        <w:rPr>
          <w:rFonts w:ascii="Arial" w:hAnsi="Arial" w:cs="Arial"/>
          <w:sz w:val="24"/>
        </w:rPr>
        <w:t xml:space="preserve"> a substantial body of</w:t>
      </w:r>
      <w:r w:rsidR="00890EE3" w:rsidRPr="00F2771B">
        <w:rPr>
          <w:rFonts w:ascii="Arial" w:hAnsi="Arial" w:cs="Arial"/>
          <w:sz w:val="24"/>
        </w:rPr>
        <w:t xml:space="preserve"> evidence and research both here and overseas that shows what works in ensur</w:t>
      </w:r>
      <w:r>
        <w:rPr>
          <w:rFonts w:ascii="Arial" w:hAnsi="Arial" w:cs="Arial"/>
          <w:sz w:val="24"/>
        </w:rPr>
        <w:t>ing</w:t>
      </w:r>
      <w:r w:rsidR="00890EE3" w:rsidRPr="00F2771B">
        <w:rPr>
          <w:rFonts w:ascii="Arial" w:hAnsi="Arial" w:cs="Arial"/>
          <w:sz w:val="24"/>
        </w:rPr>
        <w:t xml:space="preserve"> employment success. </w:t>
      </w:r>
      <w:r w:rsidR="00890EE3" w:rsidRPr="00F2771B">
        <w:rPr>
          <w:rStyle w:val="FootnoteReference"/>
          <w:rFonts w:ascii="Arial" w:hAnsi="Arial" w:cs="Arial"/>
          <w:sz w:val="24"/>
        </w:rPr>
        <w:footnoteReference w:id="24"/>
      </w:r>
      <w:r w:rsidR="00890EE3" w:rsidRPr="00F2771B">
        <w:rPr>
          <w:rFonts w:ascii="Arial" w:hAnsi="Arial" w:cs="Arial"/>
          <w:sz w:val="24"/>
        </w:rPr>
        <w:t xml:space="preserve"> </w:t>
      </w:r>
      <w:r w:rsidR="00890EE3" w:rsidRPr="00F2771B">
        <w:rPr>
          <w:rStyle w:val="FootnoteReference"/>
          <w:rFonts w:ascii="Arial" w:hAnsi="Arial" w:cs="Arial"/>
          <w:sz w:val="24"/>
        </w:rPr>
        <w:footnoteReference w:id="25"/>
      </w:r>
      <w:r w:rsidR="00890EE3" w:rsidRPr="00F2771B">
        <w:rPr>
          <w:rFonts w:ascii="Arial" w:hAnsi="Arial" w:cs="Arial"/>
          <w:sz w:val="24"/>
        </w:rPr>
        <w:t xml:space="preserve"> </w:t>
      </w:r>
      <w:r w:rsidR="00890EE3" w:rsidRPr="00F2771B">
        <w:rPr>
          <w:rStyle w:val="FootnoteReference"/>
          <w:rFonts w:ascii="Arial" w:hAnsi="Arial" w:cs="Arial"/>
          <w:sz w:val="24"/>
        </w:rPr>
        <w:footnoteReference w:id="26"/>
      </w:r>
      <w:r w:rsidR="00890EE3" w:rsidRPr="00F2771B">
        <w:rPr>
          <w:rFonts w:ascii="Arial" w:hAnsi="Arial" w:cs="Arial"/>
          <w:sz w:val="24"/>
        </w:rPr>
        <w:t xml:space="preserve"> </w:t>
      </w:r>
      <w:r w:rsidR="00890EE3" w:rsidRPr="00F2771B">
        <w:rPr>
          <w:rStyle w:val="FootnoteReference"/>
          <w:rFonts w:ascii="Arial" w:hAnsi="Arial" w:cs="Arial"/>
          <w:sz w:val="24"/>
        </w:rPr>
        <w:footnoteReference w:id="27"/>
      </w:r>
      <w:r w:rsidR="00890EE3" w:rsidRPr="00F2771B">
        <w:rPr>
          <w:rFonts w:ascii="Arial" w:hAnsi="Arial" w:cs="Arial"/>
          <w:sz w:val="24"/>
        </w:rPr>
        <w:t xml:space="preserve"> </w:t>
      </w:r>
      <w:r w:rsidR="00890EE3" w:rsidRPr="00F2771B">
        <w:rPr>
          <w:rStyle w:val="FootnoteReference"/>
          <w:rFonts w:ascii="Arial" w:hAnsi="Arial" w:cs="Arial"/>
          <w:sz w:val="24"/>
        </w:rPr>
        <w:footnoteReference w:id="28"/>
      </w:r>
      <w:r w:rsidR="00890EE3" w:rsidRPr="00F2771B">
        <w:rPr>
          <w:rFonts w:ascii="Arial" w:hAnsi="Arial" w:cs="Arial"/>
          <w:sz w:val="24"/>
        </w:rPr>
        <w:t xml:space="preserve"> </w:t>
      </w:r>
      <w:r w:rsidR="00890EE3" w:rsidRPr="00F2771B">
        <w:rPr>
          <w:rStyle w:val="FootnoteReference"/>
          <w:rFonts w:ascii="Arial" w:hAnsi="Arial" w:cs="Arial"/>
          <w:sz w:val="24"/>
        </w:rPr>
        <w:footnoteReference w:id="29"/>
      </w:r>
      <w:r w:rsidR="00180315">
        <w:rPr>
          <w:rFonts w:ascii="Arial" w:hAnsi="Arial" w:cs="Arial"/>
          <w:sz w:val="24"/>
        </w:rPr>
        <w:t xml:space="preserve"> </w:t>
      </w:r>
      <w:r w:rsidR="00180315" w:rsidRPr="00F2771B">
        <w:rPr>
          <w:rStyle w:val="FootnoteReference"/>
          <w:rFonts w:ascii="Arial" w:hAnsi="Arial" w:cs="Arial"/>
          <w:sz w:val="24"/>
        </w:rPr>
        <w:footnoteReference w:id="30"/>
      </w:r>
      <w:r w:rsidR="00F31918" w:rsidRPr="00820E6E">
        <w:rPr>
          <w:rFonts w:ascii="Arial" w:hAnsi="Arial" w:cs="Arial"/>
          <w:sz w:val="24"/>
        </w:rPr>
        <w:fldChar w:fldCharType="begin"/>
      </w:r>
      <w:r w:rsidR="00F31918" w:rsidRPr="00820E6E">
        <w:rPr>
          <w:rFonts w:ascii="Arial" w:hAnsi="Arial" w:cs="Arial"/>
          <w:sz w:val="24"/>
        </w:rPr>
        <w:instrText xml:space="preserve"> HYPERLINK "https://www.cyda.org.au/" </w:instrText>
      </w:r>
      <w:r w:rsidR="00F31918" w:rsidRPr="00820E6E">
        <w:rPr>
          <w:rFonts w:ascii="Arial" w:hAnsi="Arial" w:cs="Arial"/>
          <w:sz w:val="24"/>
        </w:rPr>
        <w:fldChar w:fldCharType="separate"/>
      </w:r>
    </w:p>
    <w:p w14:paraId="11B5BA62" w14:textId="2BC88881" w:rsidR="00F31918" w:rsidRPr="00820E6E" w:rsidRDefault="00F31918" w:rsidP="00F31918">
      <w:pPr>
        <w:spacing w:before="240" w:after="0" w:line="259" w:lineRule="auto"/>
        <w:rPr>
          <w:rFonts w:ascii="Arial" w:hAnsi="Arial" w:cs="Arial"/>
          <w:sz w:val="24"/>
        </w:rPr>
      </w:pPr>
      <w:r w:rsidRPr="00820E6E">
        <w:rPr>
          <w:rFonts w:ascii="Arial" w:hAnsi="Arial" w:cs="Arial"/>
          <w:sz w:val="24"/>
        </w:rPr>
        <w:fldChar w:fldCharType="end"/>
      </w:r>
      <w:r w:rsidRPr="00820E6E">
        <w:rPr>
          <w:rFonts w:ascii="Arial" w:hAnsi="Arial" w:cs="Arial"/>
          <w:iCs/>
          <w:sz w:val="24"/>
        </w:rPr>
        <w:t>In the Australian context, the transition from school for individuals with a disability is complicated by a disparate and fragmented group of service agencies providing a range of services, along with, at times, a deep-seated prejudice towards people with disabilities in the marketplace.</w:t>
      </w:r>
      <w:r w:rsidR="00856144">
        <w:rPr>
          <w:rStyle w:val="FootnoteReference"/>
          <w:rFonts w:ascii="Arial" w:hAnsi="Arial" w:cs="Arial"/>
          <w:iCs/>
          <w:sz w:val="24"/>
        </w:rPr>
        <w:footnoteReference w:id="31"/>
      </w:r>
      <w:r w:rsidR="00856144" w:rsidRPr="00820E6E">
        <w:rPr>
          <w:rFonts w:ascii="Arial" w:hAnsi="Arial" w:cs="Arial"/>
          <w:sz w:val="24"/>
        </w:rPr>
        <w:t xml:space="preserve"> </w:t>
      </w:r>
      <w:r w:rsidRPr="00820E6E">
        <w:rPr>
          <w:rFonts w:ascii="Arial" w:hAnsi="Arial" w:cs="Arial"/>
          <w:sz w:val="24"/>
        </w:rPr>
        <w:t>There is a ‘siloing’ of sectors and programmes which is a barrier to effective employment outcomes. Siloing creates fragmentation, duplication and inadequate levels of support for young people with disability.</w:t>
      </w:r>
      <w:r w:rsidR="00856144">
        <w:rPr>
          <w:rStyle w:val="FootnoteReference"/>
          <w:rFonts w:ascii="Arial" w:hAnsi="Arial" w:cs="Arial"/>
          <w:sz w:val="24"/>
        </w:rPr>
        <w:footnoteReference w:id="32"/>
      </w:r>
      <w:r w:rsidR="006E43BF">
        <w:rPr>
          <w:rFonts w:ascii="Arial" w:hAnsi="Arial" w:cs="Arial"/>
          <w:sz w:val="24"/>
        </w:rPr>
        <w:t xml:space="preserve"> </w:t>
      </w:r>
      <w:r w:rsidR="006E43BF">
        <w:rPr>
          <w:rStyle w:val="FootnoteReference"/>
          <w:rFonts w:ascii="Arial" w:hAnsi="Arial" w:cs="Arial"/>
          <w:sz w:val="24"/>
        </w:rPr>
        <w:footnoteReference w:id="33"/>
      </w:r>
    </w:p>
    <w:p w14:paraId="1DE6D2D6" w14:textId="77777777" w:rsidR="00180315" w:rsidRDefault="00180315" w:rsidP="001576C3">
      <w:pPr>
        <w:spacing w:before="0" w:after="120" w:line="259" w:lineRule="auto"/>
        <w:rPr>
          <w:rFonts w:ascii="Arial" w:hAnsi="Arial" w:cs="Arial"/>
          <w:sz w:val="24"/>
        </w:rPr>
      </w:pPr>
    </w:p>
    <w:p w14:paraId="03BBF83A" w14:textId="47297E80" w:rsidR="00F31918" w:rsidRPr="00CC5485" w:rsidRDefault="00F31918" w:rsidP="001576C3">
      <w:pPr>
        <w:spacing w:before="0" w:after="120" w:line="259" w:lineRule="auto"/>
        <w:rPr>
          <w:rFonts w:ascii="Arial" w:hAnsi="Arial" w:cs="Arial"/>
          <w:sz w:val="24"/>
        </w:rPr>
      </w:pPr>
      <w:r w:rsidRPr="00820E6E">
        <w:rPr>
          <w:rFonts w:ascii="Arial" w:hAnsi="Arial" w:cs="Arial"/>
          <w:sz w:val="24"/>
        </w:rPr>
        <w:t>We need the education, training and employment sector</w:t>
      </w:r>
      <w:r w:rsidR="00AC226B">
        <w:rPr>
          <w:rFonts w:ascii="Arial" w:hAnsi="Arial" w:cs="Arial"/>
          <w:sz w:val="24"/>
        </w:rPr>
        <w:t>s</w:t>
      </w:r>
      <w:r w:rsidRPr="00820E6E">
        <w:rPr>
          <w:rFonts w:ascii="Arial" w:hAnsi="Arial" w:cs="Arial"/>
          <w:sz w:val="24"/>
        </w:rPr>
        <w:t xml:space="preserve"> working in concert to improve employment outcomes as no single system or program – not a school,</w:t>
      </w:r>
      <w:r w:rsidRPr="00F2771B">
        <w:rPr>
          <w:rFonts w:ascii="Arial" w:hAnsi="Arial" w:cs="Arial"/>
          <w:sz w:val="24"/>
        </w:rPr>
        <w:t xml:space="preserve"> employment service or community service - can pay for and provide the array of support needed to effectively meet the needs of youth with disabilities in transition to employment. However, when coordinated and scaffolded, these resources can produce positive (and cost effective) outcomes for young people with disability, well </w:t>
      </w:r>
      <w:r w:rsidRPr="00F2771B">
        <w:rPr>
          <w:rFonts w:ascii="Arial" w:hAnsi="Arial" w:cs="Arial"/>
          <w:sz w:val="24"/>
        </w:rPr>
        <w:lastRenderedPageBreak/>
        <w:t xml:space="preserve">beyond the scope of what any single employment program or system can hope to </w:t>
      </w:r>
      <w:r w:rsidRPr="00CC5485">
        <w:rPr>
          <w:rFonts w:ascii="Arial" w:hAnsi="Arial" w:cs="Arial"/>
          <w:sz w:val="24"/>
        </w:rPr>
        <w:t>mobilise on its own.</w:t>
      </w:r>
      <w:r w:rsidR="006E43BF" w:rsidRPr="00CC5485">
        <w:rPr>
          <w:rStyle w:val="FootnoteReference"/>
          <w:rFonts w:ascii="Arial" w:hAnsi="Arial" w:cs="Arial"/>
          <w:sz w:val="24"/>
        </w:rPr>
        <w:footnoteReference w:id="34"/>
      </w:r>
    </w:p>
    <w:p w14:paraId="69C7A98C" w14:textId="7B820C3B" w:rsidR="00105719" w:rsidRDefault="00CC5485" w:rsidP="001576C3">
      <w:pPr>
        <w:pStyle w:val="Default"/>
        <w:tabs>
          <w:tab w:val="left" w:pos="6663"/>
        </w:tabs>
        <w:spacing w:after="120" w:line="259" w:lineRule="auto"/>
        <w:jc w:val="both"/>
      </w:pPr>
      <w:r w:rsidRPr="00CC5485">
        <w:t xml:space="preserve">In submission to the National Disability Employment Strategy </w:t>
      </w:r>
      <w:r>
        <w:t xml:space="preserve">the </w:t>
      </w:r>
      <w:r w:rsidRPr="00CC5485">
        <w:t xml:space="preserve">Melbourne </w:t>
      </w:r>
      <w:r>
        <w:t>D</w:t>
      </w:r>
      <w:r w:rsidRPr="00CC5485">
        <w:t xml:space="preserve">isability </w:t>
      </w:r>
      <w:r>
        <w:t>I</w:t>
      </w:r>
      <w:r w:rsidRPr="00CC5485">
        <w:t>nstitute states</w:t>
      </w:r>
      <w:r>
        <w:t>:</w:t>
      </w:r>
      <w:r w:rsidRPr="00CC5485">
        <w:t xml:space="preserve"> </w:t>
      </w:r>
      <w:r w:rsidR="00F31918" w:rsidRPr="00CC5485">
        <w:t>The interface between education and employment is critical. Many young people with disability leave school without essential foundational skills for work, with low self-confidence, and with few networks to support. ‘Intensive early investment to bridge that gap will avert snowballing costs stemming from labour market exclusion over a young person’s life course.</w:t>
      </w:r>
      <w:r w:rsidR="00F31918" w:rsidRPr="00CC5485">
        <w:rPr>
          <w:rStyle w:val="FootnoteReference"/>
        </w:rPr>
        <w:footnoteReference w:id="35"/>
      </w:r>
      <w:r w:rsidR="00F31918">
        <w:t xml:space="preserve"> </w:t>
      </w:r>
    </w:p>
    <w:p w14:paraId="43BCB01B" w14:textId="77777777" w:rsidR="00CC5485" w:rsidRDefault="00CC5485" w:rsidP="001576C3">
      <w:pPr>
        <w:pStyle w:val="Default"/>
        <w:tabs>
          <w:tab w:val="left" w:pos="6663"/>
        </w:tabs>
        <w:spacing w:after="120" w:line="259" w:lineRule="auto"/>
        <w:jc w:val="both"/>
      </w:pPr>
    </w:p>
    <w:p w14:paraId="29BFA202" w14:textId="35E6D453" w:rsidR="00105719" w:rsidRPr="00105719" w:rsidRDefault="00105719" w:rsidP="00105719">
      <w:pPr>
        <w:spacing w:before="0" w:after="120" w:line="259" w:lineRule="auto"/>
        <w:rPr>
          <w:rFonts w:ascii="Arial" w:hAnsi="Arial" w:cs="Arial"/>
          <w:sz w:val="24"/>
        </w:rPr>
      </w:pPr>
      <w:r w:rsidRPr="00280CF5">
        <w:rPr>
          <w:rFonts w:ascii="Arial" w:hAnsi="Arial" w:cs="Arial"/>
          <w:sz w:val="24"/>
        </w:rPr>
        <w:t xml:space="preserve">While not underestimating the challenges, </w:t>
      </w:r>
      <w:r>
        <w:rPr>
          <w:rFonts w:ascii="Arial" w:hAnsi="Arial" w:cs="Arial"/>
          <w:sz w:val="24"/>
        </w:rPr>
        <w:t xml:space="preserve">the </w:t>
      </w:r>
      <w:r w:rsidRPr="00280CF5">
        <w:rPr>
          <w:rFonts w:ascii="Arial" w:hAnsi="Arial" w:cs="Arial"/>
          <w:sz w:val="24"/>
        </w:rPr>
        <w:t xml:space="preserve">Ticket to Work </w:t>
      </w:r>
      <w:r>
        <w:rPr>
          <w:rFonts w:ascii="Arial" w:hAnsi="Arial" w:cs="Arial"/>
          <w:sz w:val="24"/>
        </w:rPr>
        <w:t xml:space="preserve">model </w:t>
      </w:r>
      <w:r w:rsidRPr="00280CF5">
        <w:rPr>
          <w:rFonts w:ascii="Arial" w:hAnsi="Arial" w:cs="Arial"/>
          <w:sz w:val="24"/>
        </w:rPr>
        <w:t xml:space="preserve">has </w:t>
      </w:r>
      <w:r w:rsidRPr="00105719">
        <w:rPr>
          <w:rFonts w:ascii="Arial" w:hAnsi="Arial" w:cs="Arial"/>
          <w:sz w:val="24"/>
        </w:rPr>
        <w:t xml:space="preserve">demonstrated in significant numbers that young people can thrive in open employment when prepared and supported through a coordinated approach. The Model developed from scoping ‘what works’ in other countries </w:t>
      </w:r>
      <w:r w:rsidR="00AC226B">
        <w:rPr>
          <w:rFonts w:ascii="Arial" w:hAnsi="Arial" w:cs="Arial"/>
          <w:sz w:val="24"/>
        </w:rPr>
        <w:t>(s</w:t>
      </w:r>
      <w:r>
        <w:rPr>
          <w:rFonts w:ascii="Arial" w:hAnsi="Arial" w:cs="Arial"/>
          <w:sz w:val="24"/>
        </w:rPr>
        <w:t xml:space="preserve">ee </w:t>
      </w:r>
      <w:r w:rsidR="00AC226B">
        <w:rPr>
          <w:rFonts w:ascii="Arial" w:hAnsi="Arial" w:cs="Arial"/>
          <w:sz w:val="24"/>
        </w:rPr>
        <w:t>A</w:t>
      </w:r>
      <w:r>
        <w:rPr>
          <w:rFonts w:ascii="Arial" w:hAnsi="Arial" w:cs="Arial"/>
          <w:sz w:val="24"/>
        </w:rPr>
        <w:t>ppendix.</w:t>
      </w:r>
      <w:r w:rsidR="00AC226B">
        <w:rPr>
          <w:rFonts w:ascii="Arial" w:hAnsi="Arial" w:cs="Arial"/>
          <w:sz w:val="24"/>
        </w:rPr>
        <w:t>)</w:t>
      </w:r>
      <w:r>
        <w:rPr>
          <w:rFonts w:ascii="Arial" w:hAnsi="Arial" w:cs="Arial"/>
          <w:sz w:val="24"/>
        </w:rPr>
        <w:t xml:space="preserve"> </w:t>
      </w:r>
    </w:p>
    <w:p w14:paraId="1F338B2A" w14:textId="1223E76B" w:rsidR="00534889" w:rsidRDefault="00AC226B" w:rsidP="00534889">
      <w:pPr>
        <w:spacing w:before="0" w:after="120" w:line="259" w:lineRule="auto"/>
        <w:rPr>
          <w:rFonts w:ascii="Arial" w:hAnsi="Arial" w:cs="Arial"/>
          <w:sz w:val="24"/>
        </w:rPr>
      </w:pPr>
      <w:r>
        <w:rPr>
          <w:rFonts w:ascii="Arial" w:hAnsi="Arial" w:cs="Arial"/>
          <w:sz w:val="24"/>
        </w:rPr>
        <w:t>T</w:t>
      </w:r>
      <w:r w:rsidR="00E4753E" w:rsidRPr="00105719">
        <w:rPr>
          <w:rFonts w:ascii="Arial" w:hAnsi="Arial" w:cs="Arial"/>
          <w:sz w:val="24"/>
        </w:rPr>
        <w:t xml:space="preserve">he gap </w:t>
      </w:r>
      <w:r w:rsidRPr="00105719">
        <w:rPr>
          <w:rFonts w:ascii="Arial" w:hAnsi="Arial" w:cs="Arial"/>
          <w:sz w:val="24"/>
        </w:rPr>
        <w:t>between young people with disability and those without</w:t>
      </w:r>
      <w:r>
        <w:rPr>
          <w:rFonts w:ascii="Arial" w:hAnsi="Arial" w:cs="Arial"/>
          <w:sz w:val="24"/>
        </w:rPr>
        <w:t xml:space="preserve"> need not </w:t>
      </w:r>
      <w:r w:rsidR="00461C65">
        <w:rPr>
          <w:rFonts w:ascii="Arial" w:hAnsi="Arial" w:cs="Arial"/>
          <w:sz w:val="24"/>
        </w:rPr>
        <w:t>widen even further</w:t>
      </w:r>
      <w:r>
        <w:rPr>
          <w:rFonts w:ascii="Arial" w:hAnsi="Arial" w:cs="Arial"/>
          <w:sz w:val="24"/>
        </w:rPr>
        <w:t xml:space="preserve">: there is no need for </w:t>
      </w:r>
      <w:r w:rsidR="00534889" w:rsidRPr="00105719">
        <w:rPr>
          <w:rFonts w:ascii="Arial" w:hAnsi="Arial" w:cs="Arial"/>
          <w:sz w:val="24"/>
        </w:rPr>
        <w:t xml:space="preserve">another consultation or government </w:t>
      </w:r>
      <w:r w:rsidR="00461C65">
        <w:rPr>
          <w:rFonts w:ascii="Arial" w:hAnsi="Arial" w:cs="Arial"/>
          <w:sz w:val="24"/>
        </w:rPr>
        <w:t>i</w:t>
      </w:r>
      <w:r w:rsidR="00534889" w:rsidRPr="00105719">
        <w:rPr>
          <w:rFonts w:ascii="Arial" w:hAnsi="Arial" w:cs="Arial"/>
          <w:sz w:val="24"/>
        </w:rPr>
        <w:t>nquiry to</w:t>
      </w:r>
      <w:r w:rsidR="00667670">
        <w:rPr>
          <w:rFonts w:ascii="Arial" w:hAnsi="Arial" w:cs="Arial"/>
          <w:sz w:val="24"/>
        </w:rPr>
        <w:t xml:space="preserve"> consider the matter when there is more than enough evidence on what works. There is a proven</w:t>
      </w:r>
      <w:r w:rsidR="00AC6A73">
        <w:rPr>
          <w:rFonts w:ascii="Arial" w:hAnsi="Arial" w:cs="Arial"/>
          <w:sz w:val="24"/>
        </w:rPr>
        <w:t>, cost-effective</w:t>
      </w:r>
      <w:r w:rsidR="00667670">
        <w:rPr>
          <w:rFonts w:ascii="Arial" w:hAnsi="Arial" w:cs="Arial"/>
          <w:sz w:val="24"/>
        </w:rPr>
        <w:t xml:space="preserve"> way forward.</w:t>
      </w:r>
    </w:p>
    <w:p w14:paraId="51CECBC3" w14:textId="77777777" w:rsidR="003F5883" w:rsidRPr="005523F0" w:rsidRDefault="003F5883" w:rsidP="003F5883">
      <w:pPr>
        <w:pStyle w:val="Default"/>
        <w:rPr>
          <w:bCs/>
          <w:color w:val="auto"/>
        </w:rPr>
      </w:pPr>
      <w:r>
        <w:rPr>
          <w:bCs/>
          <w:color w:val="auto"/>
        </w:rPr>
        <w:t xml:space="preserve">We would welcome the opportunity to discuss our submission and the Ticket to Work findings in more detail </w:t>
      </w:r>
      <w:r w:rsidRPr="005523F0">
        <w:rPr>
          <w:bCs/>
          <w:color w:val="auto"/>
        </w:rPr>
        <w:t>and to answer any questions</w:t>
      </w:r>
      <w:r>
        <w:rPr>
          <w:bCs/>
          <w:color w:val="auto"/>
        </w:rPr>
        <w:t xml:space="preserve"> you may have</w:t>
      </w:r>
      <w:r w:rsidRPr="005523F0">
        <w:rPr>
          <w:bCs/>
          <w:color w:val="auto"/>
        </w:rPr>
        <w:t>.</w:t>
      </w:r>
    </w:p>
    <w:p w14:paraId="0671AB8C" w14:textId="77777777" w:rsidR="003F5883" w:rsidRPr="00280CF5" w:rsidRDefault="003F5883" w:rsidP="00534889">
      <w:pPr>
        <w:spacing w:before="0" w:after="120" w:line="259" w:lineRule="auto"/>
        <w:rPr>
          <w:rFonts w:ascii="Arial" w:hAnsi="Arial" w:cs="Arial"/>
          <w:sz w:val="24"/>
        </w:rPr>
      </w:pPr>
    </w:p>
    <w:p w14:paraId="3432BE18" w14:textId="441392BF" w:rsidR="00C16D83" w:rsidRDefault="00C16D83" w:rsidP="00C16D83">
      <w:pPr>
        <w:spacing w:after="0" w:line="240" w:lineRule="auto"/>
        <w:rPr>
          <w:rFonts w:ascii="Arial" w:hAnsi="Arial" w:cs="Arial"/>
          <w:b/>
          <w:color w:val="auto"/>
          <w:spacing w:val="0"/>
          <w:sz w:val="28"/>
          <w:szCs w:val="28"/>
          <w:lang w:val="en-US"/>
        </w:rPr>
      </w:pPr>
      <w:r>
        <w:rPr>
          <w:rFonts w:ascii="Arial" w:hAnsi="Arial" w:cs="Arial"/>
          <w:b/>
          <w:sz w:val="28"/>
          <w:szCs w:val="28"/>
          <w:lang w:val="en-US"/>
        </w:rPr>
        <w:t>June 2021</w:t>
      </w:r>
    </w:p>
    <w:p w14:paraId="19B362FB" w14:textId="77777777" w:rsidR="00C16D83" w:rsidRDefault="00C16D83" w:rsidP="00C16D83">
      <w:pPr>
        <w:spacing w:after="0" w:line="240" w:lineRule="auto"/>
        <w:rPr>
          <w:rFonts w:ascii="Arial" w:hAnsi="Arial" w:cs="Arial"/>
          <w:sz w:val="24"/>
          <w:lang w:val="en-US"/>
        </w:rPr>
      </w:pPr>
    </w:p>
    <w:p w14:paraId="595DEA7D" w14:textId="3B0A9BAE" w:rsidR="005523F0" w:rsidRPr="003F5883" w:rsidRDefault="005523F0" w:rsidP="003F5883">
      <w:pPr>
        <w:pStyle w:val="Heading1"/>
        <w:rPr>
          <w:rFonts w:ascii="Arial" w:hAnsi="Arial" w:cs="Arial"/>
          <w:bCs w:val="0"/>
          <w:sz w:val="28"/>
          <w:szCs w:val="28"/>
        </w:rPr>
      </w:pPr>
      <w:r w:rsidRPr="00534889">
        <w:rPr>
          <w:rFonts w:ascii="Arial" w:hAnsi="Arial" w:cs="Arial"/>
          <w:bCs w:val="0"/>
          <w:sz w:val="28"/>
          <w:szCs w:val="28"/>
        </w:rPr>
        <w:t>Contact</w:t>
      </w:r>
    </w:p>
    <w:p w14:paraId="02F9A4AA" w14:textId="77777777" w:rsidR="005523F0" w:rsidRDefault="005523F0" w:rsidP="005523F0">
      <w:pPr>
        <w:pStyle w:val="Default"/>
        <w:rPr>
          <w:color w:val="auto"/>
          <w:shd w:val="clear" w:color="auto" w:fill="FFFFFF"/>
        </w:rPr>
      </w:pPr>
      <w:r>
        <w:rPr>
          <w:shd w:val="clear" w:color="auto" w:fill="FFFFFF"/>
        </w:rPr>
        <w:t>Kerrie Langford</w:t>
      </w:r>
    </w:p>
    <w:p w14:paraId="3E2ECCC6" w14:textId="4E1C3D0E" w:rsidR="005523F0" w:rsidRDefault="005523F0" w:rsidP="005523F0">
      <w:pPr>
        <w:pStyle w:val="Default"/>
        <w:rPr>
          <w:color w:val="auto"/>
          <w:shd w:val="clear" w:color="auto" w:fill="FFFFFF"/>
        </w:rPr>
      </w:pPr>
      <w:r>
        <w:rPr>
          <w:shd w:val="clear" w:color="auto" w:fill="FFFFFF"/>
        </w:rPr>
        <w:t xml:space="preserve">Head of Employment </w:t>
      </w:r>
    </w:p>
    <w:p w14:paraId="2472988F" w14:textId="77777777" w:rsidR="005523F0" w:rsidRDefault="00A2638E" w:rsidP="005523F0">
      <w:pPr>
        <w:pStyle w:val="Default"/>
        <w:rPr>
          <w:color w:val="auto"/>
          <w:shd w:val="clear" w:color="auto" w:fill="FFFFFF"/>
        </w:rPr>
      </w:pPr>
      <w:hyperlink r:id="rId28" w:history="1">
        <w:r w:rsidR="005523F0">
          <w:rPr>
            <w:rStyle w:val="Hyperlink"/>
            <w:shd w:val="clear" w:color="auto" w:fill="FFFFFF"/>
          </w:rPr>
          <w:t>Kerrie.langford@nds.org.au</w:t>
        </w:r>
      </w:hyperlink>
    </w:p>
    <w:p w14:paraId="3911AC27" w14:textId="77777777" w:rsidR="005523F0" w:rsidRDefault="005523F0" w:rsidP="005523F0">
      <w:pPr>
        <w:pStyle w:val="Default"/>
        <w:rPr>
          <w:shd w:val="clear" w:color="auto" w:fill="FFFFFF"/>
        </w:rPr>
      </w:pPr>
      <w:r>
        <w:rPr>
          <w:shd w:val="clear" w:color="auto" w:fill="FFFFFF"/>
        </w:rPr>
        <w:t>Mob: 0448 249 150</w:t>
      </w:r>
      <w:r w:rsidRPr="005523F0">
        <w:rPr>
          <w:shd w:val="clear" w:color="auto" w:fill="FFFFFF"/>
        </w:rPr>
        <w:t xml:space="preserve"> </w:t>
      </w:r>
    </w:p>
    <w:p w14:paraId="65849B61" w14:textId="77777777" w:rsidR="005523F0" w:rsidRDefault="005523F0" w:rsidP="005523F0">
      <w:pPr>
        <w:pStyle w:val="Default"/>
        <w:rPr>
          <w:shd w:val="clear" w:color="auto" w:fill="FFFFFF"/>
        </w:rPr>
      </w:pPr>
    </w:p>
    <w:p w14:paraId="07B3CD2A" w14:textId="760629F5" w:rsidR="005523F0" w:rsidRDefault="005523F0" w:rsidP="005523F0">
      <w:pPr>
        <w:pStyle w:val="Default"/>
        <w:rPr>
          <w:color w:val="auto"/>
          <w:shd w:val="clear" w:color="auto" w:fill="FFFFFF"/>
        </w:rPr>
      </w:pPr>
      <w:r>
        <w:rPr>
          <w:shd w:val="clear" w:color="auto" w:fill="FFFFFF"/>
        </w:rPr>
        <w:t>Michelle Wakeford</w:t>
      </w:r>
    </w:p>
    <w:p w14:paraId="17D2695A" w14:textId="77777777" w:rsidR="005523F0" w:rsidRDefault="005523F0" w:rsidP="005523F0">
      <w:pPr>
        <w:pStyle w:val="Default"/>
        <w:rPr>
          <w:color w:val="auto"/>
          <w:shd w:val="clear" w:color="auto" w:fill="FFFFFF"/>
        </w:rPr>
      </w:pPr>
      <w:r>
        <w:rPr>
          <w:shd w:val="clear" w:color="auto" w:fill="FFFFFF"/>
        </w:rPr>
        <w:t>National Ticket to Work Manager</w:t>
      </w:r>
    </w:p>
    <w:p w14:paraId="7E2051CC" w14:textId="77777777" w:rsidR="005523F0" w:rsidRDefault="00A2638E" w:rsidP="005523F0">
      <w:pPr>
        <w:pStyle w:val="Default"/>
        <w:rPr>
          <w:color w:val="auto"/>
          <w:shd w:val="clear" w:color="auto" w:fill="FFFFFF"/>
        </w:rPr>
      </w:pPr>
      <w:hyperlink r:id="rId29" w:history="1">
        <w:r w:rsidR="005523F0" w:rsidRPr="003C7AB8">
          <w:rPr>
            <w:rStyle w:val="Hyperlink"/>
            <w:shd w:val="clear" w:color="auto" w:fill="FFFFFF"/>
          </w:rPr>
          <w:t>michelle@tickettowork.org.au</w:t>
        </w:r>
      </w:hyperlink>
    </w:p>
    <w:p w14:paraId="38EEF07A" w14:textId="77777777" w:rsidR="005523F0" w:rsidRDefault="005523F0" w:rsidP="005523F0">
      <w:pPr>
        <w:pStyle w:val="Default"/>
        <w:rPr>
          <w:color w:val="auto"/>
          <w:shd w:val="clear" w:color="auto" w:fill="FFFFFF"/>
        </w:rPr>
      </w:pPr>
      <w:r>
        <w:rPr>
          <w:shd w:val="clear" w:color="auto" w:fill="FFFFFF"/>
        </w:rPr>
        <w:t>Ph: 0413 750 745</w:t>
      </w:r>
    </w:p>
    <w:p w14:paraId="27DC994C" w14:textId="418C4B6B" w:rsidR="005523F0" w:rsidRDefault="005523F0" w:rsidP="005523F0">
      <w:pPr>
        <w:pStyle w:val="Default"/>
        <w:rPr>
          <w:color w:val="auto"/>
          <w:shd w:val="clear" w:color="auto" w:fill="FFFFFF"/>
        </w:rPr>
      </w:pPr>
    </w:p>
    <w:p w14:paraId="57D6B895" w14:textId="77777777" w:rsidR="00C16D83" w:rsidRPr="005523F0" w:rsidRDefault="00C16D83" w:rsidP="005523F0">
      <w:pPr>
        <w:pStyle w:val="paragraph"/>
        <w:spacing w:before="0" w:beforeAutospacing="0" w:after="0" w:afterAutospacing="0"/>
        <w:textAlignment w:val="baseline"/>
        <w:rPr>
          <w:rStyle w:val="normaltextrun"/>
          <w:rFonts w:ascii="Arial" w:hAnsi="Arial" w:cs="Arial"/>
          <w:b/>
          <w:bCs/>
        </w:rPr>
      </w:pPr>
    </w:p>
    <w:p w14:paraId="63741194" w14:textId="77777777" w:rsidR="00C16D83" w:rsidRPr="005523F0" w:rsidRDefault="00C16D83" w:rsidP="005523F0">
      <w:pPr>
        <w:pStyle w:val="paragraph"/>
        <w:spacing w:before="0" w:beforeAutospacing="0" w:after="0" w:afterAutospacing="0"/>
        <w:textAlignment w:val="baseline"/>
        <w:rPr>
          <w:rFonts w:ascii="Arial" w:hAnsi="Arial" w:cs="Arial"/>
        </w:rPr>
      </w:pPr>
      <w:r w:rsidRPr="005523F0">
        <w:rPr>
          <w:rStyle w:val="normaltextrun"/>
          <w:rFonts w:ascii="Arial" w:hAnsi="Arial" w:cs="Arial"/>
          <w:b/>
          <w:bCs/>
        </w:rPr>
        <w:lastRenderedPageBreak/>
        <w:t>National Disability Services</w:t>
      </w:r>
      <w:r w:rsidRPr="005523F0">
        <w:rPr>
          <w:rStyle w:val="normaltextrun"/>
          <w:rFonts w:ascii="Arial" w:hAnsi="Arial" w:cs="Arial"/>
        </w:rPr>
        <w:t> is the peak industry body for non-government disability services. It represents service providers across Australia in their work to deliver high-quality supports and life opportunities for people with disability. Its Australia-wide membership includes over 1,150 non-government organisations which support people with all forms of disability. Its members collectively provide the full range of disability services — from accommodation support, respite and therapy to community access and employment. NDS provides information and networking opportunities to its members and policy advice to State, Territory and Federal governments.</w:t>
      </w:r>
    </w:p>
    <w:p w14:paraId="76D358B8" w14:textId="77777777" w:rsidR="00C16D83" w:rsidRPr="005523F0" w:rsidRDefault="00C16D83" w:rsidP="005523F0">
      <w:pPr>
        <w:spacing w:before="0" w:after="0" w:line="240" w:lineRule="auto"/>
        <w:rPr>
          <w:rFonts w:ascii="Arial" w:hAnsi="Arial" w:cs="Arial"/>
          <w:sz w:val="24"/>
          <w:lang w:val="en-US"/>
        </w:rPr>
      </w:pPr>
    </w:p>
    <w:p w14:paraId="74CD5E1A" w14:textId="77777777" w:rsidR="005523F0" w:rsidRPr="005523F0" w:rsidRDefault="005523F0" w:rsidP="005523F0">
      <w:pPr>
        <w:spacing w:before="0" w:after="0" w:line="240" w:lineRule="auto"/>
        <w:rPr>
          <w:rFonts w:ascii="Arial" w:hAnsi="Arial" w:cs="Arial"/>
          <w:color w:val="auto"/>
          <w:spacing w:val="0"/>
          <w:sz w:val="24"/>
        </w:rPr>
      </w:pPr>
      <w:r w:rsidRPr="005523F0">
        <w:rPr>
          <w:rFonts w:ascii="Arial" w:hAnsi="Arial" w:cs="Arial"/>
          <w:b/>
          <w:bCs/>
          <w:sz w:val="24"/>
        </w:rPr>
        <w:t>Ticket to Work</w:t>
      </w:r>
      <w:r w:rsidRPr="005523F0">
        <w:rPr>
          <w:rFonts w:ascii="Arial" w:hAnsi="Arial" w:cs="Arial"/>
          <w:sz w:val="24"/>
        </w:rPr>
        <w:t xml:space="preserve"> is an initiative of NDS that aims to improve open employment participation in Australia by galvanising local resolve, advocating for systemic change, and providing an architecture for optimal employment and career achievement for young people with disability. This paper has been informed by the experience, research and evaluations of Ticket to Work.</w:t>
      </w:r>
    </w:p>
    <w:p w14:paraId="27304C37" w14:textId="29264AFD" w:rsidR="00890EE3" w:rsidRDefault="00890EE3" w:rsidP="005523F0">
      <w:pPr>
        <w:spacing w:before="0" w:after="0" w:line="240" w:lineRule="auto"/>
        <w:rPr>
          <w:rFonts w:ascii="Arial" w:eastAsiaTheme="minorHAnsi" w:hAnsi="Arial" w:cs="Arial"/>
          <w:bCs/>
          <w:color w:val="auto"/>
          <w:spacing w:val="0"/>
          <w:sz w:val="24"/>
          <w:lang w:val="en-US" w:eastAsia="en-US"/>
        </w:rPr>
      </w:pPr>
    </w:p>
    <w:p w14:paraId="3D179305" w14:textId="4C6FE8C1" w:rsidR="00280CF5" w:rsidRDefault="00280CF5" w:rsidP="005523F0">
      <w:pPr>
        <w:spacing w:before="0" w:after="0" w:line="240" w:lineRule="auto"/>
        <w:rPr>
          <w:rFonts w:ascii="Arial" w:eastAsiaTheme="minorHAnsi" w:hAnsi="Arial" w:cs="Arial"/>
          <w:bCs/>
          <w:color w:val="auto"/>
          <w:spacing w:val="0"/>
          <w:sz w:val="24"/>
          <w:lang w:val="en-US" w:eastAsia="en-US"/>
        </w:rPr>
      </w:pPr>
    </w:p>
    <w:p w14:paraId="1ECB0B04" w14:textId="355892C9" w:rsidR="006E43BF" w:rsidRDefault="006B69CF" w:rsidP="006E43BF">
      <w:pPr>
        <w:shd w:val="clear" w:color="auto" w:fill="FFFFFF"/>
        <w:spacing w:before="0" w:after="120" w:line="240" w:lineRule="auto"/>
        <w:rPr>
          <w:rFonts w:ascii="Arial" w:hAnsi="Arial" w:cs="Arial"/>
          <w:b/>
          <w:bCs/>
          <w:color w:val="000000"/>
          <w:spacing w:val="0"/>
          <w:sz w:val="28"/>
          <w:szCs w:val="28"/>
        </w:rPr>
      </w:pPr>
      <w:r w:rsidRPr="00534889">
        <w:rPr>
          <w:rFonts w:ascii="Arial" w:hAnsi="Arial" w:cs="Arial"/>
          <w:b/>
          <w:bCs/>
          <w:color w:val="000000"/>
          <w:spacing w:val="0"/>
          <w:sz w:val="28"/>
          <w:szCs w:val="28"/>
        </w:rPr>
        <w:t xml:space="preserve">Appendix </w:t>
      </w:r>
    </w:p>
    <w:p w14:paraId="7E36A6CA" w14:textId="7A6A039A" w:rsidR="00280CF5" w:rsidRDefault="00280CF5" w:rsidP="006E43BF">
      <w:pPr>
        <w:shd w:val="clear" w:color="auto" w:fill="FFFFFF"/>
        <w:spacing w:before="0" w:after="120" w:line="240" w:lineRule="auto"/>
        <w:rPr>
          <w:rFonts w:ascii="Arial" w:hAnsi="Arial" w:cs="Arial"/>
          <w:b/>
          <w:bCs/>
          <w:color w:val="000000"/>
          <w:spacing w:val="0"/>
          <w:sz w:val="24"/>
        </w:rPr>
      </w:pPr>
      <w:r>
        <w:rPr>
          <w:rFonts w:ascii="Arial" w:hAnsi="Arial" w:cs="Arial"/>
          <w:b/>
          <w:bCs/>
          <w:color w:val="000000"/>
          <w:spacing w:val="0"/>
          <w:sz w:val="24"/>
        </w:rPr>
        <w:t xml:space="preserve">Ticket to </w:t>
      </w:r>
      <w:r w:rsidR="00461C65">
        <w:rPr>
          <w:rFonts w:ascii="Arial" w:hAnsi="Arial" w:cs="Arial"/>
          <w:b/>
          <w:bCs/>
          <w:color w:val="000000"/>
          <w:spacing w:val="0"/>
          <w:sz w:val="24"/>
        </w:rPr>
        <w:t>W</w:t>
      </w:r>
      <w:r>
        <w:rPr>
          <w:rFonts w:ascii="Arial" w:hAnsi="Arial" w:cs="Arial"/>
          <w:b/>
          <w:bCs/>
          <w:color w:val="000000"/>
          <w:spacing w:val="0"/>
          <w:sz w:val="24"/>
        </w:rPr>
        <w:t xml:space="preserve">ork </w:t>
      </w:r>
    </w:p>
    <w:p w14:paraId="15C2C92C" w14:textId="2B01C03F" w:rsidR="00820E6E" w:rsidRPr="00280CF5" w:rsidRDefault="00820E6E" w:rsidP="00534889">
      <w:pPr>
        <w:spacing w:before="0" w:after="120" w:line="259" w:lineRule="auto"/>
        <w:rPr>
          <w:rFonts w:ascii="Arial" w:hAnsi="Arial" w:cs="Arial"/>
          <w:sz w:val="24"/>
        </w:rPr>
      </w:pPr>
      <w:r w:rsidRPr="00280CF5">
        <w:rPr>
          <w:rFonts w:ascii="Arial" w:hAnsi="Arial" w:cs="Arial"/>
          <w:sz w:val="24"/>
        </w:rPr>
        <w:t xml:space="preserve">Ticket to Work an initiative of National Disability Services (NDS) has been scoping, trialling, testing and evaluation evidence-based practice in Australia to improve youth employment. </w:t>
      </w:r>
    </w:p>
    <w:p w14:paraId="38A10931" w14:textId="3DBE7EE4" w:rsidR="00C16D83" w:rsidRPr="00280CF5" w:rsidRDefault="00C16D83" w:rsidP="00534889">
      <w:pPr>
        <w:spacing w:before="0" w:after="120" w:line="259" w:lineRule="auto"/>
        <w:rPr>
          <w:rFonts w:ascii="Arial" w:hAnsi="Arial" w:cs="Arial"/>
          <w:sz w:val="24"/>
        </w:rPr>
      </w:pPr>
      <w:r w:rsidRPr="00280CF5">
        <w:rPr>
          <w:rFonts w:ascii="Arial" w:hAnsi="Arial" w:cs="Arial"/>
          <w:sz w:val="24"/>
        </w:rPr>
        <w:t>Ticket to Work was established in response to poor and falling school to work transitions for young Australian with disability</w:t>
      </w:r>
      <w:r w:rsidR="00DC134E">
        <w:rPr>
          <w:rFonts w:ascii="Arial" w:hAnsi="Arial" w:cs="Arial"/>
          <w:sz w:val="24"/>
        </w:rPr>
        <w:t>,</w:t>
      </w:r>
      <w:r w:rsidRPr="00280CF5">
        <w:rPr>
          <w:rFonts w:ascii="Arial" w:hAnsi="Arial" w:cs="Arial"/>
          <w:sz w:val="24"/>
        </w:rPr>
        <w:t xml:space="preserve"> knowing that unsuccessful transition from school holds lifelong economic and social implications for the individual, their families and our society. </w:t>
      </w:r>
    </w:p>
    <w:p w14:paraId="7F639F71" w14:textId="58C689D4" w:rsidR="00C16D83" w:rsidRPr="00280CF5" w:rsidRDefault="00C16D83" w:rsidP="00534889">
      <w:pPr>
        <w:spacing w:before="0" w:after="120" w:line="259" w:lineRule="auto"/>
        <w:rPr>
          <w:rFonts w:ascii="Arial" w:hAnsi="Arial" w:cs="Arial"/>
          <w:sz w:val="24"/>
        </w:rPr>
      </w:pPr>
      <w:r w:rsidRPr="00280CF5">
        <w:rPr>
          <w:rFonts w:ascii="Arial" w:hAnsi="Arial" w:cs="Arial"/>
          <w:sz w:val="24"/>
        </w:rPr>
        <w:t xml:space="preserve">While not underestimating the challenges, Ticket to Work has demonstrated in significant numbers that young people can thrive in open employment when prepared and supported through a coordinated approach. The </w:t>
      </w:r>
      <w:r w:rsidR="00DC134E">
        <w:rPr>
          <w:rFonts w:ascii="Arial" w:hAnsi="Arial" w:cs="Arial"/>
          <w:sz w:val="24"/>
        </w:rPr>
        <w:t>m</w:t>
      </w:r>
      <w:r w:rsidRPr="00280CF5">
        <w:rPr>
          <w:rFonts w:ascii="Arial" w:hAnsi="Arial" w:cs="Arial"/>
          <w:sz w:val="24"/>
        </w:rPr>
        <w:t xml:space="preserve">odel developed from scoping ‘what works’ in other countries. </w:t>
      </w:r>
    </w:p>
    <w:p w14:paraId="2BE89B7A" w14:textId="4CD540DC" w:rsidR="00C16D83" w:rsidRPr="00280CF5" w:rsidRDefault="00C16D83" w:rsidP="00534889">
      <w:pPr>
        <w:spacing w:before="0" w:after="120" w:line="259" w:lineRule="auto"/>
        <w:rPr>
          <w:rFonts w:ascii="Arial" w:hAnsi="Arial" w:cs="Arial"/>
          <w:sz w:val="24"/>
        </w:rPr>
      </w:pPr>
      <w:r w:rsidRPr="00280CF5">
        <w:rPr>
          <w:rFonts w:ascii="Arial" w:hAnsi="Arial" w:cs="Arial"/>
          <w:sz w:val="24"/>
        </w:rPr>
        <w:t>Ticket to Work’s connected approach has delivered 1,</w:t>
      </w:r>
      <w:r w:rsidR="003F5883">
        <w:rPr>
          <w:rFonts w:ascii="Arial" w:hAnsi="Arial" w:cs="Arial"/>
          <w:sz w:val="24"/>
        </w:rPr>
        <w:t>691</w:t>
      </w:r>
      <w:r w:rsidRPr="00280CF5">
        <w:rPr>
          <w:rFonts w:ascii="Arial" w:hAnsi="Arial" w:cs="Arial"/>
          <w:sz w:val="24"/>
        </w:rPr>
        <w:t xml:space="preserve">jobs for young people with significant disability, the majority with an intellectual impairment from special schools. </w:t>
      </w:r>
    </w:p>
    <w:p w14:paraId="15A160AE" w14:textId="77777777" w:rsidR="00C16D83" w:rsidRPr="00280CF5" w:rsidRDefault="00C16D83" w:rsidP="00534889">
      <w:pPr>
        <w:spacing w:before="0" w:after="120" w:line="259" w:lineRule="auto"/>
        <w:rPr>
          <w:rFonts w:ascii="Arial" w:hAnsi="Arial" w:cs="Arial"/>
          <w:b/>
          <w:bCs/>
          <w:sz w:val="24"/>
        </w:rPr>
      </w:pPr>
      <w:r w:rsidRPr="00280CF5">
        <w:rPr>
          <w:rFonts w:ascii="Arial" w:hAnsi="Arial" w:cs="Arial"/>
          <w:b/>
          <w:bCs/>
          <w:sz w:val="24"/>
        </w:rPr>
        <w:t>Empirical research is the basis of the Ticket to Work model</w:t>
      </w:r>
    </w:p>
    <w:p w14:paraId="6B06A004" w14:textId="53A27A1C" w:rsidR="00C16D83" w:rsidRDefault="00C16D83" w:rsidP="00534889">
      <w:pPr>
        <w:spacing w:before="0" w:after="120" w:line="259" w:lineRule="auto"/>
        <w:rPr>
          <w:rFonts w:ascii="Arial" w:hAnsi="Arial" w:cs="Arial"/>
          <w:sz w:val="24"/>
        </w:rPr>
      </w:pPr>
      <w:r>
        <w:rPr>
          <w:rFonts w:ascii="Arial" w:hAnsi="Arial" w:cs="Arial"/>
        </w:rPr>
        <w:t>National Disability Services has collaborated with researchers and evaluators,</w:t>
      </w:r>
      <w:r w:rsidR="00F542F3">
        <w:rPr>
          <w:rFonts w:ascii="Arial" w:hAnsi="Arial" w:cs="Arial"/>
        </w:rPr>
        <w:t xml:space="preserve"> to develop</w:t>
      </w:r>
      <w:r>
        <w:rPr>
          <w:rFonts w:ascii="Arial" w:hAnsi="Arial" w:cs="Arial"/>
        </w:rPr>
        <w:t xml:space="preserve"> a large body of work around effective school to work transition for young people with disability. </w:t>
      </w:r>
    </w:p>
    <w:p w14:paraId="7835AB1E" w14:textId="77777777" w:rsidR="00C16D83" w:rsidRDefault="00C16D83" w:rsidP="00534889">
      <w:pPr>
        <w:spacing w:before="0" w:after="120" w:line="259" w:lineRule="auto"/>
        <w:rPr>
          <w:rFonts w:ascii="Arial" w:hAnsi="Arial" w:cs="Arial"/>
        </w:rPr>
      </w:pPr>
      <w:r>
        <w:rPr>
          <w:rFonts w:ascii="Arial" w:hAnsi="Arial" w:cs="Arial"/>
        </w:rPr>
        <w:t xml:space="preserve">The recent evaluations on the elements of the Ticket to Work model have shown: </w:t>
      </w:r>
    </w:p>
    <w:p w14:paraId="3DF28CDE" w14:textId="4FA61FC0" w:rsidR="00C16D83" w:rsidRPr="0078703B" w:rsidRDefault="00C16D83" w:rsidP="00534889">
      <w:pPr>
        <w:pStyle w:val="Listdashlevel2"/>
        <w:numPr>
          <w:ilvl w:val="0"/>
          <w:numId w:val="25"/>
        </w:numPr>
        <w:tabs>
          <w:tab w:val="left" w:pos="720"/>
        </w:tabs>
        <w:spacing w:after="120" w:line="259" w:lineRule="auto"/>
        <w:ind w:left="360"/>
      </w:pPr>
      <w:r w:rsidRPr="0078703B">
        <w:t xml:space="preserve">The Ticket to Work model has number of social and fiscal benefits </w:t>
      </w:r>
      <w:r w:rsidRPr="00D80D99">
        <w:fldChar w:fldCharType="begin"/>
      </w:r>
      <w:r w:rsidRPr="0078703B">
        <w:instrText xml:space="preserve"> ADDIN EN.CITE &lt;EndNote&gt;&lt;Cite&gt;&lt;Author&gt;Social Ventures Australia&lt;/Author&gt;&lt;Year&gt;2019&lt;/Year&gt;&lt;RecNum&gt;12&lt;/RecNum&gt;&lt;DisplayText&gt;(Social Ventures Australia, 2019)&lt;/DisplayText&gt;&lt;record&gt;&lt;rec-number&gt;12&lt;/rec-number&gt;&lt;foreign-keys&gt;&lt;key app="EN" db-id="fwdatsxvgz9adre2wd9x2sv0xr00zzzvd9fs" timestamp="1576553965"&gt;12&lt;/key&gt;&lt;/foreign-keys&gt;&lt;ref-type name="Unpublished Work"&gt;34&lt;/ref-type&gt;&lt;contributors&gt;&lt;authors&gt;&lt;author&gt;Social Ventures Australia,&lt;/author&gt;&lt;/authors&gt;&lt;/contributors&gt;&lt;titles&gt;&lt;title&gt;Ticket to Work, Valuation of Key Outcomes&lt;/title&gt;&lt;/titles&gt;&lt;dates&gt;&lt;year&gt;2019&lt;/year&gt;&lt;/dates&gt;&lt;publisher&gt;SVA&lt;/publisher&gt;&lt;urls&gt;&lt;/urls&gt;&lt;/record&gt;&lt;/Cite&gt;&lt;/EndNote&gt;</w:instrText>
      </w:r>
      <w:r w:rsidRPr="00D80D99">
        <w:fldChar w:fldCharType="separate"/>
      </w:r>
      <w:r w:rsidRPr="0004538A">
        <w:rPr>
          <w:noProof/>
        </w:rPr>
        <w:t>(Social Ventures Australia, 2019)</w:t>
      </w:r>
      <w:r w:rsidRPr="00D80D99">
        <w:fldChar w:fldCharType="end"/>
      </w:r>
      <w:r w:rsidRPr="0078703B">
        <w:t xml:space="preserve">. </w:t>
      </w:r>
    </w:p>
    <w:p w14:paraId="1D12FAF1" w14:textId="77777777" w:rsidR="00C16D83" w:rsidRDefault="00C16D83" w:rsidP="00534889">
      <w:pPr>
        <w:pStyle w:val="Listdashlevel2"/>
        <w:numPr>
          <w:ilvl w:val="0"/>
          <w:numId w:val="26"/>
        </w:numPr>
        <w:tabs>
          <w:tab w:val="left" w:pos="720"/>
        </w:tabs>
        <w:spacing w:after="120" w:line="259" w:lineRule="auto"/>
        <w:ind w:left="360"/>
      </w:pPr>
      <w:r>
        <w:t xml:space="preserve">Ticket to Work participants post-school are substantially more likely than a similar comparison group to:  </w:t>
      </w:r>
    </w:p>
    <w:p w14:paraId="7C319E4D" w14:textId="77777777" w:rsidR="00C16D83" w:rsidRDefault="00C16D83" w:rsidP="00534889">
      <w:pPr>
        <w:pStyle w:val="Listdashlevel2"/>
        <w:numPr>
          <w:ilvl w:val="1"/>
          <w:numId w:val="26"/>
        </w:numPr>
        <w:tabs>
          <w:tab w:val="left" w:pos="720"/>
        </w:tabs>
        <w:spacing w:after="120" w:line="259" w:lineRule="auto"/>
        <w:ind w:left="1440"/>
      </w:pPr>
      <w:r>
        <w:t xml:space="preserve">work in open employment </w:t>
      </w:r>
    </w:p>
    <w:p w14:paraId="1692FD5D" w14:textId="77777777" w:rsidR="00C16D83" w:rsidRDefault="00C16D83" w:rsidP="00534889">
      <w:pPr>
        <w:pStyle w:val="Listdashlevel2"/>
        <w:numPr>
          <w:ilvl w:val="1"/>
          <w:numId w:val="26"/>
        </w:numPr>
        <w:tabs>
          <w:tab w:val="left" w:pos="720"/>
        </w:tabs>
        <w:spacing w:after="120" w:line="259" w:lineRule="auto"/>
        <w:ind w:left="1440"/>
      </w:pPr>
      <w:r>
        <w:lastRenderedPageBreak/>
        <w:t>complete year 12</w:t>
      </w:r>
    </w:p>
    <w:p w14:paraId="200EA956" w14:textId="77777777" w:rsidR="00C16D83" w:rsidRDefault="00C16D83" w:rsidP="00534889">
      <w:pPr>
        <w:pStyle w:val="Listdashlevel2"/>
        <w:numPr>
          <w:ilvl w:val="1"/>
          <w:numId w:val="26"/>
        </w:numPr>
        <w:tabs>
          <w:tab w:val="left" w:pos="720"/>
        </w:tabs>
        <w:spacing w:after="120" w:line="259" w:lineRule="auto"/>
        <w:ind w:left="1440"/>
      </w:pPr>
      <w:r>
        <w:t>participate in the labour force</w:t>
      </w:r>
    </w:p>
    <w:p w14:paraId="5683A20E" w14:textId="622E9FD2" w:rsidR="00C16D83" w:rsidRDefault="00C16D83" w:rsidP="006E43BF">
      <w:pPr>
        <w:pStyle w:val="Listdashlevel2"/>
        <w:numPr>
          <w:ilvl w:val="1"/>
          <w:numId w:val="26"/>
        </w:numPr>
        <w:tabs>
          <w:tab w:val="left" w:pos="720"/>
        </w:tabs>
        <w:spacing w:after="120" w:line="259" w:lineRule="auto"/>
        <w:ind w:left="1350"/>
      </w:pPr>
      <w:r>
        <w:t>be involved in community and socially active (Atkinson, Christian, Cassidy, Rutherford &amp; Hawkins, 2019)</w:t>
      </w:r>
    </w:p>
    <w:p w14:paraId="12ECDFA9" w14:textId="77777777" w:rsidR="00C16D83" w:rsidRDefault="00C16D83" w:rsidP="00534889">
      <w:pPr>
        <w:pStyle w:val="Listdashlevel2"/>
        <w:numPr>
          <w:ilvl w:val="1"/>
          <w:numId w:val="27"/>
        </w:numPr>
        <w:spacing w:after="120" w:line="259" w:lineRule="auto"/>
        <w:ind w:left="540"/>
      </w:pPr>
      <w:r>
        <w:t xml:space="preserve">Ticket to Work’s approach is working for key stakeholders (evaluation of employers, parents and network members) and is in line with international good practice and research </w:t>
      </w:r>
      <w:r>
        <w:fldChar w:fldCharType="begin">
          <w:fldData xml:space="preserve">PEVuZE5vdGU+PENpdGU+PEF1dGhvcj5XYWtlZm9yZDwvQXV0aG9yPjxZZWFyPjIwMTk8L1llYXI+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</w:fldData>
        </w:fldChar>
      </w:r>
      <w:r>
        <w:instrText xml:space="preserve"> ADDIN EN.CITE </w:instrText>
      </w:r>
      <w:r>
        <w:fldChar w:fldCharType="begin">
          <w:fldData xml:space="preserve">PEVuZE5vdGU+PENpdGU+PEF1dGhvcj5XYWtlZm9yZDwvQXV0aG9yPjxZZWFyPjIwMTk8L1llYXI+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</w:fldData>
        </w:fldChar>
      </w:r>
      <w:r>
        <w:instrText xml:space="preserve"> ADDIN EN.CITE.DATA </w:instrText>
      </w:r>
      <w:r>
        <w:fldChar w:fldCharType="end"/>
      </w:r>
      <w:r>
        <w:fldChar w:fldCharType="separate"/>
      </w:r>
      <w:r>
        <w:rPr>
          <w:noProof/>
        </w:rPr>
        <w:t>(Atkinson et al., 2019; Kellock, 2019; Wakeford, 2019)</w:t>
      </w:r>
      <w:r>
        <w:fldChar w:fldCharType="end"/>
      </w:r>
      <w:r>
        <w:t xml:space="preserve">. </w:t>
      </w:r>
    </w:p>
    <w:p w14:paraId="244D1171" w14:textId="77777777" w:rsidR="00C16D83" w:rsidRDefault="00C16D83" w:rsidP="00534889">
      <w:pPr>
        <w:pStyle w:val="Listdashlevel2"/>
        <w:numPr>
          <w:ilvl w:val="1"/>
          <w:numId w:val="27"/>
        </w:numPr>
        <w:tabs>
          <w:tab w:val="left" w:pos="810"/>
        </w:tabs>
        <w:spacing w:after="120" w:line="259" w:lineRule="auto"/>
        <w:ind w:left="540"/>
      </w:pPr>
      <w:r>
        <w:t xml:space="preserve">That there is a need to focus on how to get different sectors working in concert to improve employment outcomes and raises expectations </w:t>
      </w:r>
      <w:r>
        <w:fldChar w:fldCharType="begin"/>
      </w:r>
      <w:r>
        <w:instrText xml:space="preserve"> ADDIN EN.CITE &lt;EndNote&gt;&lt;Cite&gt;&lt;Author&gt;Meadows&lt;/Author&gt;&lt;Year&gt;2019&lt;/Year&gt;&lt;RecNum&gt;16&lt;/RecNum&gt;&lt;DisplayText&gt;(Meadows, 2019)&lt;/DisplayText&gt;&lt;record&gt;&lt;rec-number&gt;16&lt;/rec-number&gt;&lt;foreign-keys&gt;&lt;key app="EN" db-id="fwdatsxvgz9adre2wd9x2sv0xr00zzzvd9fs" timestamp="1576555321"&gt;16&lt;/key&gt;&lt;/foreign-keys&gt;&lt;ref-type name="Report"&gt;27&lt;/ref-type&gt;&lt;contributors&gt;&lt;authors&gt;&lt;author&gt;Meadows, D.&lt;/author&gt;&lt;/authors&gt;&lt;/contributors&gt;&lt;titles&gt;&lt;title&gt;Collaboration in School to Work Transition&lt;/title&gt;&lt;/titles&gt;&lt;dates&gt;&lt;year&gt;2019&lt;/year&gt;&lt;/dates&gt;&lt;pub-location&gt;Melbourne &lt;/pub-location&gt;&lt;publisher&gt;National Disability Services &lt;/publisher&gt;&lt;urls&gt;&lt;/urls&gt;&lt;/record&gt;&lt;/Cite&gt;&lt;/EndNote&gt;</w:instrText>
      </w:r>
      <w:r>
        <w:fldChar w:fldCharType="separate"/>
      </w:r>
      <w:r>
        <w:rPr>
          <w:noProof/>
        </w:rPr>
        <w:t>(Meadows, 2019)</w:t>
      </w:r>
      <w:r>
        <w:fldChar w:fldCharType="end"/>
      </w:r>
      <w:r>
        <w:t xml:space="preserve">. </w:t>
      </w:r>
    </w:p>
    <w:p w14:paraId="3BA2D49F" w14:textId="77777777" w:rsidR="00C16D83" w:rsidRDefault="00C16D83" w:rsidP="00534889">
      <w:pPr>
        <w:pStyle w:val="Listdashlevel2"/>
        <w:numPr>
          <w:ilvl w:val="1"/>
          <w:numId w:val="27"/>
        </w:numPr>
        <w:spacing w:after="120" w:line="259" w:lineRule="auto"/>
        <w:ind w:left="540"/>
      </w:pPr>
      <w:r>
        <w:t xml:space="preserve">That Ticket to Work supports effective integration of mainstream and disability supports, and reduces duplication </w:t>
      </w:r>
      <w:r>
        <w:fldChar w:fldCharType="begin"/>
      </w:r>
      <w:r>
        <w:instrText xml:space="preserve"> ADDIN EN.CITE &lt;EndNote&gt;&lt;Cite&gt;&lt;Author&gt;Atkinson&lt;/Author&gt;&lt;Year&gt;2019&lt;/Year&gt;&lt;RecNum&gt;13&lt;/RecNum&gt;&lt;DisplayText&gt;(Atkinson et al., 2019)&lt;/DisplayText&gt;&lt;record&gt;&lt;rec-number&gt;13&lt;/rec-number&gt;&lt;foreign-keys&gt;&lt;key app="EN" db-id="fwdatsxvgz9adre2wd9x2sv0xr00zzzvd9fs" timestamp="1576554460"&gt;13&lt;/key&gt;&lt;/foreign-keys&gt;&lt;ref-type name="Report"&gt;27&lt;/ref-type&gt;&lt;contributors&gt;&lt;authors&gt;&lt;author&gt;Atkinson, G., &lt;/author&gt;&lt;author&gt;Christian, F., &lt;/author&gt;&lt;author&gt;Cassidy, J., &lt;/author&gt;&lt;author&gt;Rutherford, J., &lt;/author&gt;&lt;author&gt;Hawkins, A. &lt;/author&gt;&lt;/authors&gt;&lt;/contributors&gt;&lt;titles&gt;&lt;title&gt;Ticket to Work Post School Outcomes Report for National Disability Services Final Report&lt;/title&gt;&lt;/titles&gt;&lt;dates&gt;&lt;year&gt;2019&lt;/year&gt;&lt;/dates&gt;&lt;pub-location&gt;Sydney&lt;/pub-location&gt;&lt;publisher&gt;ARTD&lt;/publisher&gt;&lt;urls&gt;&lt;related-urls&gt;&lt;url&gt;www.tickettowork.org.au/research_evaluation/ticket-work-post-school-outcomes/&lt;/url&gt;&lt;/related-urls&gt;&lt;/urls&gt;&lt;/record&gt;&lt;/Cite&gt;&lt;/EndNote&gt;</w:instrText>
      </w:r>
      <w:r>
        <w:fldChar w:fldCharType="separate"/>
      </w:r>
      <w:r>
        <w:rPr>
          <w:noProof/>
        </w:rPr>
        <w:t>(Atkinson et al., 2019)</w:t>
      </w:r>
      <w:r>
        <w:fldChar w:fldCharType="end"/>
      </w:r>
      <w:r>
        <w:t>.</w:t>
      </w:r>
    </w:p>
    <w:p w14:paraId="70C3B6EB" w14:textId="77777777" w:rsidR="00C16D83" w:rsidRDefault="00C16D83" w:rsidP="00534889">
      <w:pPr>
        <w:pStyle w:val="Default"/>
        <w:shd w:val="clear" w:color="auto" w:fill="FFFFFF"/>
        <w:spacing w:after="120" w:line="259" w:lineRule="auto"/>
        <w:ind w:left="360"/>
      </w:pPr>
    </w:p>
    <w:p w14:paraId="1F4D4970" w14:textId="77777777" w:rsidR="00C16D83" w:rsidRPr="00534889" w:rsidRDefault="00C16D83" w:rsidP="00534889">
      <w:pPr>
        <w:pStyle w:val="Heading2"/>
        <w:spacing w:before="0" w:after="120" w:line="259" w:lineRule="auto"/>
        <w:rPr>
          <w:rFonts w:ascii="Arial" w:hAnsi="Arial" w:cs="Arial"/>
          <w:b/>
          <w:bCs/>
          <w:color w:val="auto"/>
          <w:sz w:val="28"/>
          <w:szCs w:val="28"/>
        </w:rPr>
      </w:pPr>
      <w:r w:rsidRPr="00534889">
        <w:rPr>
          <w:rFonts w:ascii="Arial" w:hAnsi="Arial" w:cs="Arial"/>
          <w:b/>
          <w:bCs/>
          <w:color w:val="auto"/>
          <w:sz w:val="28"/>
          <w:szCs w:val="28"/>
        </w:rPr>
        <w:t xml:space="preserve">Employment, education and training outcomes post school </w:t>
      </w:r>
    </w:p>
    <w:p w14:paraId="73070F19" w14:textId="77777777" w:rsidR="00C16D83" w:rsidRDefault="00C16D83" w:rsidP="00534889">
      <w:pPr>
        <w:pStyle w:val="Default"/>
        <w:shd w:val="clear" w:color="auto" w:fill="FFFFFF"/>
        <w:spacing w:after="120" w:line="259" w:lineRule="auto"/>
        <w:ind w:left="720"/>
      </w:pPr>
    </w:p>
    <w:p w14:paraId="70DB21DF" w14:textId="00B5B780" w:rsidR="00C16D83" w:rsidRDefault="00C16D83" w:rsidP="00534889">
      <w:pPr>
        <w:pStyle w:val="Default"/>
        <w:shd w:val="clear" w:color="auto" w:fill="FFFFFF"/>
        <w:spacing w:after="120" w:line="259" w:lineRule="auto"/>
        <w:ind w:left="720"/>
      </w:pPr>
      <w:r>
        <w:rPr>
          <w:noProof/>
          <w:lang w:val="en-US"/>
        </w:rPr>
        <w:drawing>
          <wp:inline distT="0" distB="0" distL="0" distR="0" wp14:anchorId="339810BA" wp14:editId="6FC5575E">
            <wp:extent cx="5391150" cy="2946400"/>
            <wp:effectExtent l="0" t="0" r="0" b="0"/>
            <wp:docPr id="3" name="Picture 3" descr="Finding of a comparison study by SVA 2019 compared the difference in a Ticket to Wok scenario versus a business as usual scenario.&#10;There was 3216 participants&#10;•72% in employment, education or training compared to 46% in business as usual&#10;•28% not in employment, education or training compared to 54% in business as ususal&#10;•41.5% working only compared to 23% in business as usual&#10;•22.5% working and studying compared to 10% in business as usual&#10;•8% studying only compared to 13% in business as usual&#10;" title="Figure 1"/>
            <wp:cNvGraphicFramePr/>
            <a:graphic xmlns:a="http://schemas.openxmlformats.org/drawingml/2006/main">
              <a:graphicData uri="http://schemas.openxmlformats.org/drawingml/2006/picture">
                <pic:pic xmlns:pic="http://schemas.openxmlformats.org/drawingml/2006/picture">
                  <pic:nvPicPr>
                    <pic:cNvPr id="8" name="Picture 8" descr="Finding of a comparison study by SVA 2019 compared the difference in a Ticket to Wok scenario versus a business as usual scenario.&#10;There was 3216 participants&#10;•72% in employment, education or training compared to 46% in business as usual&#10;•28% not in employment, education or training compared to 54% in business as ususal&#10;•41.5% working only compared to 23% in business as usual&#10;•22.5% working and studying compared to 10% in business as usual&#10;•8% studying only compared to 13% in business as usual&#10;" title="Figure 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392420" cy="2946400"/>
                    </a:xfrm>
                    <a:prstGeom prst="rect">
                      <a:avLst/>
                    </a:prstGeom>
                    <a:noFill/>
                  </pic:spPr>
                </pic:pic>
              </a:graphicData>
            </a:graphic>
          </wp:inline>
        </w:drawing>
      </w:r>
    </w:p>
    <w:p w14:paraId="21AF6884" w14:textId="77777777" w:rsidR="00C16D83" w:rsidRDefault="00C16D83" w:rsidP="00534889">
      <w:pPr>
        <w:pStyle w:val="Default"/>
        <w:shd w:val="clear" w:color="auto" w:fill="FFFFFF"/>
        <w:spacing w:after="120" w:line="259" w:lineRule="auto"/>
        <w:ind w:left="720"/>
      </w:pPr>
    </w:p>
    <w:p w14:paraId="61495735" w14:textId="1B3353D3" w:rsidR="00C16D83" w:rsidRPr="006E43BF" w:rsidRDefault="00C16D83" w:rsidP="00534889">
      <w:pPr>
        <w:spacing w:before="0" w:after="120" w:line="259" w:lineRule="auto"/>
        <w:rPr>
          <w:rFonts w:ascii="Arial" w:hAnsi="Arial" w:cs="Arial"/>
          <w:b/>
          <w:bCs/>
        </w:rPr>
      </w:pPr>
      <w:r w:rsidRPr="006E43BF">
        <w:rPr>
          <w:rFonts w:ascii="Arial" w:hAnsi="Arial" w:cs="Arial"/>
          <w:b/>
          <w:bCs/>
        </w:rPr>
        <w:t>Figure indicates finding</w:t>
      </w:r>
      <w:r w:rsidR="00D80D99">
        <w:rPr>
          <w:rFonts w:ascii="Arial" w:hAnsi="Arial" w:cs="Arial"/>
          <w:b/>
          <w:bCs/>
        </w:rPr>
        <w:t>s</w:t>
      </w:r>
      <w:r w:rsidRPr="006E43BF">
        <w:rPr>
          <w:rFonts w:ascii="Arial" w:hAnsi="Arial" w:cs="Arial"/>
          <w:b/>
          <w:bCs/>
        </w:rPr>
        <w:t xml:space="preserve"> of a comparison study</w:t>
      </w:r>
      <w:r w:rsidR="00D80D99">
        <w:rPr>
          <w:rFonts w:ascii="Arial" w:hAnsi="Arial" w:cs="Arial"/>
          <w:b/>
          <w:bCs/>
        </w:rPr>
        <w:t xml:space="preserve"> </w:t>
      </w:r>
      <w:r w:rsidR="00F04CFB">
        <w:rPr>
          <w:rFonts w:ascii="Arial" w:hAnsi="Arial" w:cs="Arial"/>
          <w:b/>
          <w:bCs/>
        </w:rPr>
        <w:t xml:space="preserve">- </w:t>
      </w:r>
      <w:r w:rsidRPr="006E43BF">
        <w:rPr>
          <w:rFonts w:ascii="Arial" w:hAnsi="Arial" w:cs="Arial"/>
          <w:b/>
          <w:bCs/>
        </w:rPr>
        <w:t>SVA 20</w:t>
      </w:r>
      <w:r w:rsidR="006E43BF" w:rsidRPr="006E43BF">
        <w:rPr>
          <w:rFonts w:ascii="Arial" w:hAnsi="Arial" w:cs="Arial"/>
          <w:b/>
          <w:bCs/>
        </w:rPr>
        <w:t xml:space="preserve">21 </w:t>
      </w:r>
      <w:r w:rsidR="006E43BF" w:rsidRPr="006E43BF">
        <w:rPr>
          <w:rStyle w:val="FootnoteReference"/>
          <w:rFonts w:ascii="Arial" w:hAnsi="Arial" w:cs="Arial"/>
          <w:b/>
          <w:bCs/>
        </w:rPr>
        <w:footnoteReference w:id="36"/>
      </w:r>
    </w:p>
    <w:p w14:paraId="55A3827D" w14:textId="05792260" w:rsidR="00C16D83" w:rsidRDefault="005523F0" w:rsidP="00534889">
      <w:pPr>
        <w:spacing w:before="0" w:after="120" w:line="259" w:lineRule="auto"/>
        <w:rPr>
          <w:rFonts w:ascii="Arial" w:hAnsi="Arial" w:cs="Arial"/>
        </w:rPr>
      </w:pPr>
      <w:r>
        <w:rPr>
          <w:rFonts w:ascii="Arial" w:hAnsi="Arial" w:cs="Arial"/>
        </w:rPr>
        <w:t>Young people with disability</w:t>
      </w:r>
      <w:r w:rsidR="00C16D83">
        <w:rPr>
          <w:rFonts w:ascii="Arial" w:hAnsi="Arial" w:cs="Arial"/>
        </w:rPr>
        <w:t xml:space="preserve"> that had opportunity to participate in work and career development opportunities at school showed improved employment, education and training outcomes compared to young people that did not have Ticket to Work support (Business as usual).</w:t>
      </w:r>
    </w:p>
    <w:p w14:paraId="51E3B6EB" w14:textId="5CFCC2B5" w:rsidR="00C16D83" w:rsidRPr="003F5883" w:rsidRDefault="00C16D83" w:rsidP="003F5883">
      <w:pPr>
        <w:spacing w:before="0" w:after="120" w:line="259" w:lineRule="auto"/>
        <w:rPr>
          <w:rFonts w:ascii="Arial" w:hAnsi="Arial" w:cs="Arial"/>
          <w:color w:val="000000"/>
        </w:rPr>
      </w:pPr>
      <w:r>
        <w:rPr>
          <w:rFonts w:ascii="Arial" w:hAnsi="Arial" w:cs="Arial"/>
          <w:shd w:val="clear" w:color="auto" w:fill="FFFFFF"/>
        </w:rPr>
        <w:br w:type="page"/>
      </w:r>
      <w:r w:rsidRPr="00280CF5">
        <w:rPr>
          <w:rFonts w:ascii="Arial" w:hAnsi="Arial" w:cs="Arial"/>
          <w:b/>
          <w:bCs/>
          <w:sz w:val="24"/>
        </w:rPr>
        <w:lastRenderedPageBreak/>
        <w:t xml:space="preserve">Characteristics of the Ticket to Work </w:t>
      </w:r>
      <w:r w:rsidR="00D80D99">
        <w:rPr>
          <w:rFonts w:ascii="Arial" w:hAnsi="Arial" w:cs="Arial"/>
          <w:b/>
          <w:bCs/>
          <w:sz w:val="24"/>
        </w:rPr>
        <w:t>m</w:t>
      </w:r>
      <w:r w:rsidRPr="00280CF5">
        <w:rPr>
          <w:rFonts w:ascii="Arial" w:hAnsi="Arial" w:cs="Arial"/>
          <w:b/>
          <w:bCs/>
          <w:sz w:val="24"/>
        </w:rPr>
        <w:t xml:space="preserve">odel </w:t>
      </w:r>
    </w:p>
    <w:p w14:paraId="0A452B64" w14:textId="77777777" w:rsidR="00820E6E" w:rsidRPr="008C1B80" w:rsidRDefault="00820E6E" w:rsidP="00534889">
      <w:pPr>
        <w:spacing w:before="0" w:after="120" w:line="259" w:lineRule="auto"/>
        <w:rPr>
          <w:rFonts w:ascii="Arial" w:eastAsiaTheme="minorHAnsi" w:hAnsi="Arial" w:cs="Arial"/>
          <w:bCs/>
          <w:color w:val="auto"/>
          <w:spacing w:val="0"/>
          <w:sz w:val="24"/>
          <w:lang w:val="en-US" w:eastAsia="en-US"/>
        </w:rPr>
      </w:pPr>
      <w:r w:rsidRPr="008C1B80">
        <w:rPr>
          <w:rFonts w:ascii="Arial" w:eastAsiaTheme="minorHAnsi" w:hAnsi="Arial" w:cs="Arial"/>
          <w:bCs/>
          <w:color w:val="auto"/>
          <w:spacing w:val="0"/>
          <w:sz w:val="24"/>
          <w:lang w:val="en-US" w:eastAsia="en-US"/>
        </w:rPr>
        <w:t xml:space="preserve">The </w:t>
      </w:r>
      <w:r w:rsidRPr="008C1B80">
        <w:rPr>
          <w:rFonts w:ascii="Arial" w:eastAsiaTheme="minorHAnsi" w:hAnsi="Arial" w:cs="Arial"/>
          <w:b/>
          <w:bCs/>
          <w:color w:val="auto"/>
          <w:spacing w:val="0"/>
          <w:sz w:val="24"/>
          <w:lang w:val="en-US" w:eastAsia="en-US"/>
        </w:rPr>
        <w:t>Ticket to Work model</w:t>
      </w:r>
      <w:r w:rsidRPr="008C1B80">
        <w:rPr>
          <w:rFonts w:ascii="Arial" w:eastAsiaTheme="minorHAnsi" w:hAnsi="Arial" w:cs="Arial"/>
          <w:bCs/>
          <w:color w:val="auto"/>
          <w:spacing w:val="0"/>
          <w:sz w:val="24"/>
          <w:lang w:val="en-US" w:eastAsia="en-US"/>
        </w:rPr>
        <w:t xml:space="preserve"> was developed by combining various ‘success factors’ from research literature and related international experience to improve social and economic participation for young people with disability.</w:t>
      </w:r>
    </w:p>
    <w:p w14:paraId="1A9E56F9" w14:textId="77777777" w:rsidR="00820E6E" w:rsidRPr="00F2771B" w:rsidRDefault="00820E6E" w:rsidP="00534889">
      <w:pPr>
        <w:spacing w:before="0" w:after="120" w:line="259" w:lineRule="auto"/>
        <w:rPr>
          <w:rFonts w:ascii="Arial" w:hAnsi="Arial" w:cs="Arial"/>
          <w:color w:val="auto"/>
          <w:spacing w:val="0"/>
          <w:sz w:val="24"/>
        </w:rPr>
      </w:pPr>
      <w:r w:rsidRPr="00F2771B">
        <w:rPr>
          <w:rFonts w:ascii="Arial" w:hAnsi="Arial" w:cs="Arial"/>
          <w:sz w:val="24"/>
        </w:rPr>
        <w:t>Ticket to Work prepares young people for the world of work, providing them with an open employment pathway in their transition from school through a combination of vocational/career development and early contact with work environments.</w:t>
      </w:r>
    </w:p>
    <w:p w14:paraId="477B5869" w14:textId="7D38F5BE" w:rsidR="00820E6E" w:rsidRPr="00F2771B" w:rsidRDefault="00820E6E" w:rsidP="00534889">
      <w:pPr>
        <w:spacing w:before="0" w:after="120" w:line="259" w:lineRule="auto"/>
        <w:rPr>
          <w:rFonts w:ascii="Arial" w:hAnsi="Arial" w:cs="Arial"/>
          <w:sz w:val="24"/>
          <w:lang w:eastAsia="en-US"/>
        </w:rPr>
      </w:pPr>
      <w:r w:rsidRPr="00F2771B">
        <w:rPr>
          <w:rFonts w:ascii="Arial" w:hAnsi="Arial" w:cs="Arial"/>
          <w:sz w:val="24"/>
        </w:rPr>
        <w:t xml:space="preserve">Community </w:t>
      </w:r>
      <w:r>
        <w:rPr>
          <w:rFonts w:ascii="Arial" w:hAnsi="Arial" w:cs="Arial"/>
          <w:sz w:val="24"/>
        </w:rPr>
        <w:t>partnerships</w:t>
      </w:r>
      <w:r w:rsidRPr="00F2771B">
        <w:rPr>
          <w:rFonts w:ascii="Arial" w:hAnsi="Arial" w:cs="Arial"/>
          <w:sz w:val="24"/>
        </w:rPr>
        <w:t xml:space="preserve"> are developed and leverage the power of cross-sectoral partnerships to provide individualised support, blending existing resources, coordinating, scaffolding all relevant supports for young people with significant disability. </w:t>
      </w:r>
    </w:p>
    <w:p w14:paraId="61FB98B2" w14:textId="0356F52F" w:rsidR="00820E6E" w:rsidRPr="00F2771B" w:rsidRDefault="00820E6E" w:rsidP="00534889">
      <w:pPr>
        <w:spacing w:before="0" w:after="120" w:line="259" w:lineRule="auto"/>
        <w:rPr>
          <w:rFonts w:ascii="Arial" w:hAnsi="Arial" w:cs="Arial"/>
          <w:sz w:val="24"/>
        </w:rPr>
      </w:pPr>
      <w:r w:rsidRPr="00F2771B">
        <w:rPr>
          <w:rFonts w:ascii="Arial" w:hAnsi="Arial" w:cs="Arial"/>
          <w:sz w:val="24"/>
        </w:rPr>
        <w:t>The</w:t>
      </w:r>
      <w:r>
        <w:rPr>
          <w:rFonts w:ascii="Arial" w:hAnsi="Arial" w:cs="Arial"/>
          <w:sz w:val="24"/>
        </w:rPr>
        <w:t>se partnerships</w:t>
      </w:r>
      <w:r w:rsidRPr="00F2771B">
        <w:rPr>
          <w:rFonts w:ascii="Arial" w:hAnsi="Arial" w:cs="Arial"/>
          <w:sz w:val="24"/>
        </w:rPr>
        <w:t xml:space="preserve"> are coordinated by an intermediary, which supports development of a local community partnership, including schools, employment services, training organisations, post school providers and employers.</w:t>
      </w:r>
    </w:p>
    <w:p w14:paraId="0C1DDBBB" w14:textId="77777777" w:rsidR="00820E6E" w:rsidRPr="00F2771B" w:rsidRDefault="00820E6E" w:rsidP="00534889">
      <w:pPr>
        <w:spacing w:before="0" w:after="120" w:line="259" w:lineRule="auto"/>
        <w:rPr>
          <w:rFonts w:ascii="Arial" w:hAnsi="Arial" w:cs="Arial"/>
          <w:sz w:val="24"/>
        </w:rPr>
      </w:pPr>
      <w:r w:rsidRPr="00F2771B">
        <w:rPr>
          <w:rFonts w:ascii="Arial" w:hAnsi="Arial" w:cs="Arial"/>
          <w:sz w:val="24"/>
        </w:rPr>
        <w:t>Ticket to Work:</w:t>
      </w:r>
    </w:p>
    <w:p w14:paraId="70833A18" w14:textId="77777777" w:rsidR="00820E6E" w:rsidRPr="00F2771B" w:rsidRDefault="00820E6E" w:rsidP="00534889">
      <w:pPr>
        <w:pStyle w:val="Listdashlevel2"/>
        <w:numPr>
          <w:ilvl w:val="1"/>
          <w:numId w:val="14"/>
        </w:numPr>
        <w:spacing w:after="120" w:line="259" w:lineRule="auto"/>
        <w:rPr>
          <w:rFonts w:cs="Arial"/>
          <w:lang w:eastAsia="en-AU"/>
        </w:rPr>
      </w:pPr>
      <w:r w:rsidRPr="00F2771B">
        <w:rPr>
          <w:rFonts w:cs="Arial"/>
          <w:lang w:eastAsia="en-AU"/>
        </w:rPr>
        <w:t>brings together disability-specific and mainstream representatives from a variety of sectors to work strategically and collaboratively</w:t>
      </w:r>
    </w:p>
    <w:p w14:paraId="7558AE84" w14:textId="77777777" w:rsidR="00820E6E" w:rsidRPr="00F2771B" w:rsidRDefault="00820E6E" w:rsidP="00534889">
      <w:pPr>
        <w:pStyle w:val="Listdashlevel2"/>
        <w:numPr>
          <w:ilvl w:val="1"/>
          <w:numId w:val="14"/>
        </w:numPr>
        <w:spacing w:after="120" w:line="259" w:lineRule="auto"/>
        <w:rPr>
          <w:rFonts w:cs="Arial"/>
          <w:lang w:eastAsia="en-AU"/>
        </w:rPr>
      </w:pPr>
      <w:r w:rsidRPr="00F2771B">
        <w:rPr>
          <w:rFonts w:cs="Arial"/>
          <w:lang w:eastAsia="en-AU"/>
        </w:rPr>
        <w:t>supports young people to gain access to early experiences that positively influence their views of themselves as workers</w:t>
      </w:r>
    </w:p>
    <w:p w14:paraId="662BEB46" w14:textId="77777777" w:rsidR="00820E6E" w:rsidRPr="00F2771B" w:rsidRDefault="00820E6E" w:rsidP="00534889">
      <w:pPr>
        <w:pStyle w:val="Listdashlevel2"/>
        <w:numPr>
          <w:ilvl w:val="1"/>
          <w:numId w:val="14"/>
        </w:numPr>
        <w:spacing w:after="120" w:line="259" w:lineRule="auto"/>
        <w:rPr>
          <w:rFonts w:cs="Arial"/>
          <w:lang w:eastAsia="en-AU"/>
        </w:rPr>
      </w:pPr>
      <w:r w:rsidRPr="00F2771B">
        <w:rPr>
          <w:rFonts w:cs="Arial"/>
          <w:lang w:eastAsia="en-AU"/>
        </w:rPr>
        <w:t>prepares young people with disability for the workplace and gives them an employment pathway that is typical of other young adults</w:t>
      </w:r>
    </w:p>
    <w:p w14:paraId="3DEDB6DE" w14:textId="77777777" w:rsidR="00820E6E" w:rsidRPr="00F2771B" w:rsidRDefault="00820E6E" w:rsidP="00534889">
      <w:pPr>
        <w:pStyle w:val="Listdashlevel2"/>
        <w:numPr>
          <w:ilvl w:val="1"/>
          <w:numId w:val="14"/>
        </w:numPr>
        <w:spacing w:after="120" w:line="259" w:lineRule="auto"/>
        <w:rPr>
          <w:rFonts w:cs="Arial"/>
          <w:lang w:eastAsia="en-AU"/>
        </w:rPr>
      </w:pPr>
      <w:r w:rsidRPr="00F2771B">
        <w:rPr>
          <w:rFonts w:cs="Arial"/>
          <w:lang w:eastAsia="en-AU"/>
        </w:rPr>
        <w:t>meets the needs of employers, providing enhanced retention and profitability.</w:t>
      </w:r>
    </w:p>
    <w:p w14:paraId="686C4FC2" w14:textId="77777777" w:rsidR="00C16D83" w:rsidRDefault="00C16D83" w:rsidP="00534889">
      <w:pPr>
        <w:spacing w:before="0" w:after="120" w:line="259" w:lineRule="auto"/>
        <w:rPr>
          <w:rFonts w:ascii="Arial" w:hAnsi="Arial" w:cs="Arial"/>
          <w:lang w:eastAsia="en-US"/>
        </w:rPr>
      </w:pPr>
    </w:p>
    <w:p w14:paraId="2DD92039" w14:textId="687D4AE8" w:rsidR="00596A59" w:rsidRPr="00280CF5" w:rsidRDefault="00596A59" w:rsidP="00596A59">
      <w:pPr>
        <w:pStyle w:val="Bulletlist"/>
        <w:numPr>
          <w:ilvl w:val="0"/>
          <w:numId w:val="0"/>
        </w:numPr>
        <w:spacing w:line="259" w:lineRule="auto"/>
        <w:rPr>
          <w:b/>
          <w:sz w:val="24"/>
          <w:szCs w:val="24"/>
        </w:rPr>
      </w:pPr>
      <w:r w:rsidRPr="00280CF5">
        <w:rPr>
          <w:b/>
          <w:sz w:val="24"/>
          <w:szCs w:val="24"/>
        </w:rPr>
        <w:t xml:space="preserve">Ticket to Work </w:t>
      </w:r>
      <w:r w:rsidR="00280CF5">
        <w:rPr>
          <w:b/>
          <w:sz w:val="24"/>
          <w:szCs w:val="24"/>
        </w:rPr>
        <w:t>E</w:t>
      </w:r>
      <w:r w:rsidRPr="00280CF5">
        <w:rPr>
          <w:b/>
          <w:sz w:val="24"/>
          <w:szCs w:val="24"/>
        </w:rPr>
        <w:t xml:space="preserve">valuations </w:t>
      </w:r>
    </w:p>
    <w:p w14:paraId="7DB605AB" w14:textId="44FA3AFA" w:rsidR="00596A59" w:rsidRPr="00280CF5" w:rsidRDefault="00596A59" w:rsidP="00596A59">
      <w:pPr>
        <w:pStyle w:val="Bulletlist"/>
        <w:numPr>
          <w:ilvl w:val="0"/>
          <w:numId w:val="0"/>
        </w:numPr>
        <w:spacing w:line="259" w:lineRule="auto"/>
        <w:rPr>
          <w:sz w:val="24"/>
          <w:szCs w:val="24"/>
          <w:highlight w:val="yellow"/>
        </w:rPr>
      </w:pPr>
      <w:r w:rsidRPr="00280CF5">
        <w:rPr>
          <w:sz w:val="24"/>
          <w:szCs w:val="24"/>
        </w:rPr>
        <w:t xml:space="preserve">Ticket to Work in its aim to improve pathways and opportunities has completed a </w:t>
      </w:r>
      <w:r w:rsidR="00280CF5" w:rsidRPr="00280CF5">
        <w:rPr>
          <w:sz w:val="24"/>
          <w:szCs w:val="24"/>
        </w:rPr>
        <w:t>number</w:t>
      </w:r>
      <w:r w:rsidRPr="00280CF5">
        <w:rPr>
          <w:sz w:val="24"/>
          <w:szCs w:val="24"/>
        </w:rPr>
        <w:t xml:space="preserve"> of investigation and evaluation into the elements of model. These can be accessed at </w:t>
      </w:r>
      <w:hyperlink r:id="rId31" w:history="1">
        <w:r w:rsidR="00D80D99">
          <w:rPr>
            <w:rStyle w:val="Hyperlink"/>
            <w:sz w:val="24"/>
            <w:szCs w:val="24"/>
          </w:rPr>
          <w:t>tickettowork</w:t>
        </w:r>
        <w:r w:rsidR="001D56B2">
          <w:rPr>
            <w:rStyle w:val="Hyperlink"/>
            <w:sz w:val="24"/>
            <w:szCs w:val="24"/>
          </w:rPr>
          <w:t xml:space="preserve"> </w:t>
        </w:r>
        <w:r w:rsidR="00D80D99">
          <w:rPr>
            <w:rStyle w:val="Hyperlink"/>
            <w:sz w:val="24"/>
            <w:szCs w:val="24"/>
          </w:rPr>
          <w:t>research/</w:t>
        </w:r>
      </w:hyperlink>
      <w:r w:rsidRPr="00280CF5">
        <w:rPr>
          <w:sz w:val="24"/>
          <w:szCs w:val="24"/>
        </w:rPr>
        <w:t xml:space="preserve"> These include: </w:t>
      </w:r>
    </w:p>
    <w:p w14:paraId="4B046A18" w14:textId="77777777" w:rsidR="00596A59" w:rsidRPr="00280CF5" w:rsidRDefault="00596A59" w:rsidP="00596A59">
      <w:pPr>
        <w:pStyle w:val="ListParagraph"/>
        <w:spacing w:after="120"/>
        <w:ind w:left="0"/>
        <w:rPr>
          <w:rFonts w:ascii="Arial" w:hAnsi="Arial" w:cs="Arial"/>
          <w:sz w:val="24"/>
          <w:szCs w:val="24"/>
        </w:rPr>
      </w:pPr>
      <w:r w:rsidRPr="00280CF5">
        <w:rPr>
          <w:rFonts w:ascii="Arial" w:hAnsi="Arial" w:cs="Arial"/>
          <w:b/>
          <w:sz w:val="24"/>
          <w:szCs w:val="24"/>
        </w:rPr>
        <w:t xml:space="preserve">Title: Ticket to Work Valuation of key outcomes </w:t>
      </w:r>
      <w:r w:rsidRPr="00280CF5">
        <w:rPr>
          <w:rFonts w:ascii="Arial" w:hAnsi="Arial" w:cs="Arial"/>
          <w:sz w:val="24"/>
          <w:szCs w:val="24"/>
        </w:rPr>
        <w:t xml:space="preserve">(2020) by Social Venture Australia (SVA) </w:t>
      </w:r>
    </w:p>
    <w:p w14:paraId="0366EB6C" w14:textId="1E159066" w:rsidR="00596A59" w:rsidRPr="00280CF5" w:rsidRDefault="00596A59" w:rsidP="00596A59">
      <w:pPr>
        <w:pStyle w:val="ListParagraph"/>
        <w:spacing w:after="120"/>
        <w:ind w:left="0"/>
        <w:rPr>
          <w:rFonts w:ascii="Arial" w:hAnsi="Arial" w:cs="Arial"/>
          <w:color w:val="000000"/>
          <w:sz w:val="24"/>
          <w:szCs w:val="24"/>
          <w:shd w:val="clear" w:color="auto" w:fill="FFFFFF"/>
        </w:rPr>
      </w:pPr>
      <w:r w:rsidRPr="00280CF5">
        <w:rPr>
          <w:rFonts w:ascii="Arial" w:hAnsi="Arial" w:cs="Arial"/>
          <w:sz w:val="24"/>
          <w:szCs w:val="24"/>
        </w:rPr>
        <w:t xml:space="preserve">Focus: SVA took a conservative approach to evaluating the post school outcomes of Ticket to Work over a </w:t>
      </w:r>
      <w:r w:rsidR="001D56B2" w:rsidRPr="00280CF5">
        <w:rPr>
          <w:rFonts w:ascii="Arial" w:hAnsi="Arial" w:cs="Arial"/>
          <w:sz w:val="24"/>
          <w:szCs w:val="24"/>
        </w:rPr>
        <w:t>3-year</w:t>
      </w:r>
      <w:r w:rsidRPr="00280CF5">
        <w:rPr>
          <w:rFonts w:ascii="Arial" w:hAnsi="Arial" w:cs="Arial"/>
          <w:sz w:val="24"/>
          <w:szCs w:val="24"/>
        </w:rPr>
        <w:t xml:space="preserve"> period. They found the Ticket to Work model has the ability to significantly reduce government expenditure while increasing the number of young people with disability to gain meaningful employment and experience improved social outcomes.</w:t>
      </w:r>
    </w:p>
    <w:p w14:paraId="1E623367" w14:textId="77AAA681" w:rsidR="00596A59" w:rsidRPr="00280CF5" w:rsidRDefault="00A2638E" w:rsidP="00596A59">
      <w:pPr>
        <w:pStyle w:val="ListParagraph"/>
        <w:spacing w:before="240" w:after="240"/>
        <w:rPr>
          <w:rFonts w:ascii="Arial" w:hAnsi="Arial" w:cs="Arial"/>
          <w:sz w:val="24"/>
          <w:szCs w:val="24"/>
        </w:rPr>
      </w:pPr>
      <w:hyperlink r:id="rId32" w:history="1">
        <w:r w:rsidR="00D80D99" w:rsidRPr="00FC0318">
          <w:rPr>
            <w:rStyle w:val="Hyperlink"/>
            <w:rFonts w:ascii="Arial" w:hAnsi="Arial" w:cs="Arial"/>
            <w:sz w:val="24"/>
            <w:szCs w:val="24"/>
          </w:rPr>
          <w:t xml:space="preserve">Access the </w:t>
        </w:r>
        <w:r w:rsidR="00D50855" w:rsidRPr="00FC0318">
          <w:rPr>
            <w:rStyle w:val="Hyperlink"/>
            <w:rFonts w:ascii="Arial" w:hAnsi="Arial" w:cs="Arial"/>
            <w:sz w:val="24"/>
            <w:szCs w:val="24"/>
          </w:rPr>
          <w:t>‘</w:t>
        </w:r>
        <w:r w:rsidR="00D80D99" w:rsidRPr="00FC0318">
          <w:rPr>
            <w:rStyle w:val="Hyperlink"/>
            <w:rFonts w:ascii="Arial" w:hAnsi="Arial" w:cs="Arial"/>
            <w:sz w:val="24"/>
            <w:szCs w:val="24"/>
          </w:rPr>
          <w:t>SVA – Ticket to Work valuation of key outcomes</w:t>
        </w:r>
        <w:r w:rsidR="00596A59" w:rsidRPr="00FC0318">
          <w:rPr>
            <w:rStyle w:val="Hyperlink"/>
            <w:rFonts w:ascii="Arial" w:hAnsi="Arial" w:cs="Arial"/>
            <w:sz w:val="24"/>
            <w:szCs w:val="24"/>
          </w:rPr>
          <w:t xml:space="preserve"> rep</w:t>
        </w:r>
        <w:r w:rsidR="00D50855" w:rsidRPr="00FC0318">
          <w:rPr>
            <w:rStyle w:val="Hyperlink"/>
            <w:rFonts w:ascii="Arial" w:hAnsi="Arial" w:cs="Arial"/>
            <w:sz w:val="24"/>
            <w:szCs w:val="24"/>
          </w:rPr>
          <w:t>ort</w:t>
        </w:r>
        <w:r w:rsidR="00D50855" w:rsidRPr="00D50855">
          <w:rPr>
            <w:rStyle w:val="Hyperlink"/>
            <w:rFonts w:ascii="Arial" w:hAnsi="Arial" w:cs="Arial"/>
            <w:sz w:val="24"/>
            <w:szCs w:val="24"/>
          </w:rPr>
          <w:t>’</w:t>
        </w:r>
      </w:hyperlink>
    </w:p>
    <w:p w14:paraId="385AAD7E" w14:textId="68C29188" w:rsidR="00596A59" w:rsidRPr="00280CF5" w:rsidRDefault="00A2638E" w:rsidP="00596A59">
      <w:pPr>
        <w:pStyle w:val="ListParagraph"/>
        <w:spacing w:before="240" w:after="240"/>
        <w:ind w:left="0" w:firstLine="720"/>
        <w:rPr>
          <w:rFonts w:ascii="Arial" w:hAnsi="Arial" w:cs="Arial"/>
          <w:sz w:val="24"/>
          <w:szCs w:val="24"/>
        </w:rPr>
      </w:pPr>
      <w:hyperlink r:id="rId33" w:history="1">
        <w:r w:rsidR="00D80D99">
          <w:rPr>
            <w:rStyle w:val="Hyperlink"/>
            <w:rFonts w:ascii="Arial" w:hAnsi="Arial" w:cs="Arial"/>
            <w:sz w:val="24"/>
            <w:szCs w:val="24"/>
          </w:rPr>
          <w:t>Access the i</w:t>
        </w:r>
        <w:r w:rsidR="00596A59" w:rsidRPr="00280CF5">
          <w:rPr>
            <w:rStyle w:val="Hyperlink"/>
            <w:rFonts w:ascii="Arial" w:hAnsi="Arial" w:cs="Arial"/>
            <w:sz w:val="24"/>
            <w:szCs w:val="24"/>
          </w:rPr>
          <w:t>nfographic summary of report</w:t>
        </w:r>
      </w:hyperlink>
      <w:r w:rsidR="00596A59" w:rsidRPr="00280CF5">
        <w:rPr>
          <w:rFonts w:ascii="Arial" w:hAnsi="Arial" w:cs="Arial"/>
          <w:sz w:val="24"/>
          <w:szCs w:val="24"/>
        </w:rPr>
        <w:t xml:space="preserve"> </w:t>
      </w:r>
    </w:p>
    <w:p w14:paraId="461EDF6E" w14:textId="77777777" w:rsidR="003F5883" w:rsidRDefault="003F5883" w:rsidP="00596A59">
      <w:pPr>
        <w:spacing w:line="259" w:lineRule="auto"/>
        <w:rPr>
          <w:rFonts w:ascii="Arial" w:hAnsi="Arial" w:cs="Arial"/>
          <w:b/>
          <w:sz w:val="24"/>
        </w:rPr>
      </w:pPr>
    </w:p>
    <w:p w14:paraId="09BE81A9" w14:textId="67C68666" w:rsidR="00596A59" w:rsidRPr="00280CF5" w:rsidRDefault="00596A59" w:rsidP="00596A59">
      <w:pPr>
        <w:spacing w:line="259" w:lineRule="auto"/>
        <w:rPr>
          <w:rFonts w:ascii="Arial" w:hAnsi="Arial" w:cs="Arial"/>
          <w:sz w:val="24"/>
        </w:rPr>
      </w:pPr>
      <w:r w:rsidRPr="00280CF5">
        <w:rPr>
          <w:rFonts w:ascii="Arial" w:hAnsi="Arial" w:cs="Arial"/>
          <w:b/>
          <w:sz w:val="24"/>
        </w:rPr>
        <w:lastRenderedPageBreak/>
        <w:t>Title Beneficial for all: The After School Job</w:t>
      </w:r>
      <w:r w:rsidR="00D50855">
        <w:rPr>
          <w:rFonts w:ascii="Arial" w:hAnsi="Arial" w:cs="Arial"/>
          <w:b/>
          <w:sz w:val="24"/>
        </w:rPr>
        <w:t>s Project</w:t>
      </w:r>
      <w:r w:rsidRPr="00280CF5">
        <w:rPr>
          <w:rFonts w:ascii="Arial" w:hAnsi="Arial" w:cs="Arial"/>
          <w:sz w:val="24"/>
        </w:rPr>
        <w:t xml:space="preserve"> (2021) by Dr William Crisp</w:t>
      </w:r>
    </w:p>
    <w:p w14:paraId="6C80DD6D" w14:textId="6DBEBA82" w:rsidR="00596A59" w:rsidRPr="00280CF5" w:rsidRDefault="00596A59" w:rsidP="00596A59">
      <w:pPr>
        <w:spacing w:line="259" w:lineRule="auto"/>
        <w:rPr>
          <w:rFonts w:ascii="Arial" w:hAnsi="Arial" w:cs="Arial"/>
          <w:sz w:val="24"/>
        </w:rPr>
      </w:pPr>
      <w:r w:rsidRPr="00280CF5">
        <w:rPr>
          <w:rFonts w:ascii="Arial" w:hAnsi="Arial" w:cs="Arial"/>
          <w:sz w:val="24"/>
        </w:rPr>
        <w:t xml:space="preserve">Focus: This report explores a three year project </w:t>
      </w:r>
      <w:r w:rsidR="00D80D99">
        <w:rPr>
          <w:rFonts w:ascii="Arial" w:hAnsi="Arial" w:cs="Arial"/>
          <w:sz w:val="24"/>
        </w:rPr>
        <w:t>that</w:t>
      </w:r>
      <w:r w:rsidRPr="00280CF5">
        <w:rPr>
          <w:rFonts w:ascii="Arial" w:hAnsi="Arial" w:cs="Arial"/>
          <w:sz w:val="24"/>
        </w:rPr>
        <w:t xml:space="preserve"> aim</w:t>
      </w:r>
      <w:r w:rsidR="00D80D99">
        <w:rPr>
          <w:rFonts w:ascii="Arial" w:hAnsi="Arial" w:cs="Arial"/>
          <w:sz w:val="24"/>
        </w:rPr>
        <w:t>ed</w:t>
      </w:r>
      <w:r w:rsidRPr="00280CF5">
        <w:rPr>
          <w:rFonts w:ascii="Arial" w:hAnsi="Arial" w:cs="Arial"/>
          <w:sz w:val="24"/>
        </w:rPr>
        <w:t xml:space="preserve"> </w:t>
      </w:r>
      <w:r w:rsidR="00D80D99">
        <w:rPr>
          <w:rFonts w:ascii="Arial" w:hAnsi="Arial" w:cs="Arial"/>
          <w:sz w:val="24"/>
        </w:rPr>
        <w:t>to</w:t>
      </w:r>
      <w:r w:rsidRPr="00280CF5">
        <w:rPr>
          <w:rFonts w:ascii="Arial" w:hAnsi="Arial" w:cs="Arial"/>
          <w:sz w:val="24"/>
        </w:rPr>
        <w:t xml:space="preserve"> creat</w:t>
      </w:r>
      <w:r w:rsidR="00D80D99">
        <w:rPr>
          <w:rFonts w:ascii="Arial" w:hAnsi="Arial" w:cs="Arial"/>
          <w:sz w:val="24"/>
        </w:rPr>
        <w:t>e</w:t>
      </w:r>
      <w:r w:rsidRPr="00280CF5">
        <w:rPr>
          <w:rFonts w:ascii="Arial" w:hAnsi="Arial" w:cs="Arial"/>
          <w:sz w:val="24"/>
        </w:rPr>
        <w:t xml:space="preserve"> opportunities for secondary school students with a disability to participate in after school jobs. </w:t>
      </w:r>
      <w:r w:rsidR="00D50855">
        <w:rPr>
          <w:rFonts w:ascii="Arial" w:hAnsi="Arial" w:cs="Arial"/>
          <w:sz w:val="24"/>
        </w:rPr>
        <w:t>T</w:t>
      </w:r>
      <w:r w:rsidRPr="00280CF5">
        <w:rPr>
          <w:rFonts w:ascii="Arial" w:hAnsi="Arial" w:cs="Arial"/>
          <w:sz w:val="24"/>
        </w:rPr>
        <w:t xml:space="preserve">he evaluation provides an overview of the broad policy context, details </w:t>
      </w:r>
      <w:r w:rsidR="00D80D99">
        <w:rPr>
          <w:rFonts w:ascii="Arial" w:hAnsi="Arial" w:cs="Arial"/>
          <w:sz w:val="24"/>
        </w:rPr>
        <w:t xml:space="preserve">of </w:t>
      </w:r>
      <w:r w:rsidRPr="00280CF5">
        <w:rPr>
          <w:rFonts w:ascii="Arial" w:hAnsi="Arial" w:cs="Arial"/>
          <w:sz w:val="24"/>
        </w:rPr>
        <w:t xml:space="preserve">the Ticket to Work model, the rationale for the project, and lists the project outcomes. </w:t>
      </w:r>
    </w:p>
    <w:p w14:paraId="26BB7ECF" w14:textId="04DCCDB7" w:rsidR="00596A59" w:rsidRPr="00280CF5" w:rsidRDefault="00A2638E" w:rsidP="00596A59">
      <w:pPr>
        <w:spacing w:line="259" w:lineRule="auto"/>
        <w:rPr>
          <w:rFonts w:ascii="Arial" w:hAnsi="Arial" w:cs="Arial"/>
          <w:sz w:val="24"/>
        </w:rPr>
      </w:pPr>
      <w:hyperlink r:id="rId34" w:history="1">
        <w:r w:rsidR="00D50855">
          <w:rPr>
            <w:rStyle w:val="Hyperlink"/>
            <w:rFonts w:ascii="Arial" w:hAnsi="Arial" w:cs="Arial"/>
            <w:sz w:val="24"/>
          </w:rPr>
          <w:t>Access the ‘Beneficial for all: The after school jobs project’</w:t>
        </w:r>
        <w:r w:rsidR="00596A59" w:rsidRPr="00280CF5">
          <w:rPr>
            <w:rStyle w:val="Hyperlink"/>
            <w:rFonts w:ascii="Arial" w:hAnsi="Arial" w:cs="Arial"/>
            <w:sz w:val="24"/>
          </w:rPr>
          <w:t xml:space="preserve"> report</w:t>
        </w:r>
      </w:hyperlink>
      <w:r w:rsidR="00596A59" w:rsidRPr="00280CF5">
        <w:rPr>
          <w:rFonts w:ascii="Arial" w:hAnsi="Arial" w:cs="Arial"/>
          <w:sz w:val="24"/>
        </w:rPr>
        <w:t xml:space="preserve"> </w:t>
      </w:r>
    </w:p>
    <w:p w14:paraId="01FC875F" w14:textId="77777777" w:rsidR="00596A59" w:rsidRPr="00280CF5" w:rsidRDefault="00596A59" w:rsidP="00596A59">
      <w:pPr>
        <w:pStyle w:val="Bulletlist"/>
        <w:numPr>
          <w:ilvl w:val="0"/>
          <w:numId w:val="0"/>
        </w:numPr>
        <w:spacing w:line="259" w:lineRule="auto"/>
        <w:rPr>
          <w:sz w:val="24"/>
          <w:szCs w:val="24"/>
        </w:rPr>
      </w:pPr>
      <w:r w:rsidRPr="00280CF5">
        <w:rPr>
          <w:b/>
          <w:sz w:val="24"/>
          <w:szCs w:val="24"/>
        </w:rPr>
        <w:t>Title: Employer Experience of employing young people with Intellectual/Cognitive disability</w:t>
      </w:r>
      <w:r w:rsidRPr="00280CF5">
        <w:rPr>
          <w:sz w:val="24"/>
          <w:szCs w:val="24"/>
        </w:rPr>
        <w:t xml:space="preserve"> (2020) by Peter Kellock</w:t>
      </w:r>
    </w:p>
    <w:p w14:paraId="4FE1F584" w14:textId="77777777" w:rsidR="00596A59" w:rsidRPr="00280CF5" w:rsidRDefault="00596A59" w:rsidP="00596A59">
      <w:pPr>
        <w:pStyle w:val="Bulletlist"/>
        <w:numPr>
          <w:ilvl w:val="0"/>
          <w:numId w:val="0"/>
        </w:numPr>
        <w:spacing w:line="259" w:lineRule="auto"/>
        <w:rPr>
          <w:sz w:val="24"/>
          <w:szCs w:val="24"/>
        </w:rPr>
      </w:pPr>
      <w:r w:rsidRPr="00280CF5">
        <w:rPr>
          <w:sz w:val="24"/>
          <w:szCs w:val="24"/>
        </w:rPr>
        <w:t>Focus: This paper reports on the experience of employers who offer work opportunities to young people with intellectual disabilities. The paper considers aspects of the employer experience and how best to meet the needs of employers in order to increase the number of job opportunities available for young people with intellectual disabilities.</w:t>
      </w:r>
    </w:p>
    <w:p w14:paraId="2A94B707" w14:textId="25CC8CE5" w:rsidR="00596A59" w:rsidRPr="00280CF5" w:rsidRDefault="00A2638E" w:rsidP="00596A59">
      <w:pPr>
        <w:spacing w:line="259" w:lineRule="auto"/>
        <w:rPr>
          <w:rFonts w:ascii="Arial" w:hAnsi="Arial" w:cs="Arial"/>
          <w:sz w:val="24"/>
        </w:rPr>
      </w:pPr>
      <w:hyperlink r:id="rId35" w:history="1">
        <w:r w:rsidR="00D50855">
          <w:rPr>
            <w:rStyle w:val="Hyperlink"/>
            <w:rFonts w:ascii="Arial" w:hAnsi="Arial" w:cs="Arial"/>
            <w:sz w:val="24"/>
          </w:rPr>
          <w:t>Access t</w:t>
        </w:r>
        <w:r w:rsidR="00596A59" w:rsidRPr="00280CF5">
          <w:rPr>
            <w:rStyle w:val="Hyperlink"/>
            <w:rFonts w:ascii="Arial" w:hAnsi="Arial" w:cs="Arial"/>
            <w:sz w:val="24"/>
          </w:rPr>
          <w:t xml:space="preserve">he </w:t>
        </w:r>
        <w:r w:rsidR="00D50855">
          <w:rPr>
            <w:rStyle w:val="Hyperlink"/>
            <w:rFonts w:ascii="Arial" w:hAnsi="Arial" w:cs="Arial"/>
            <w:sz w:val="24"/>
          </w:rPr>
          <w:t xml:space="preserve">‘Employer experience’ </w:t>
        </w:r>
        <w:r w:rsidR="00596A59" w:rsidRPr="00280CF5">
          <w:rPr>
            <w:rStyle w:val="Hyperlink"/>
            <w:rFonts w:ascii="Arial" w:hAnsi="Arial" w:cs="Arial"/>
            <w:sz w:val="24"/>
          </w:rPr>
          <w:t>report</w:t>
        </w:r>
      </w:hyperlink>
      <w:r w:rsidR="00596A59" w:rsidRPr="00280CF5">
        <w:rPr>
          <w:rFonts w:ascii="Arial" w:hAnsi="Arial" w:cs="Arial"/>
          <w:sz w:val="24"/>
        </w:rPr>
        <w:t xml:space="preserve"> </w:t>
      </w:r>
    </w:p>
    <w:p w14:paraId="3EE36409" w14:textId="77777777" w:rsidR="00596A59" w:rsidRPr="00280CF5" w:rsidRDefault="00596A59" w:rsidP="00596A59">
      <w:pPr>
        <w:spacing w:line="259" w:lineRule="auto"/>
        <w:rPr>
          <w:rFonts w:ascii="Arial" w:hAnsi="Arial" w:cs="Arial"/>
          <w:sz w:val="24"/>
        </w:rPr>
      </w:pPr>
      <w:r w:rsidRPr="00280CF5">
        <w:rPr>
          <w:rFonts w:ascii="Arial" w:hAnsi="Arial" w:cs="Arial"/>
          <w:b/>
          <w:sz w:val="24"/>
        </w:rPr>
        <w:t>Title: Parent engagement in school to work transition for their child with disability</w:t>
      </w:r>
      <w:r w:rsidRPr="00280CF5">
        <w:rPr>
          <w:rFonts w:ascii="Arial" w:hAnsi="Arial" w:cs="Arial"/>
          <w:sz w:val="24"/>
        </w:rPr>
        <w:t xml:space="preserve"> (2020) by Michelle Wakeford </w:t>
      </w:r>
    </w:p>
    <w:p w14:paraId="348194BF" w14:textId="124B3274" w:rsidR="00596A59" w:rsidRPr="00280CF5" w:rsidRDefault="00596A59" w:rsidP="00596A59">
      <w:pPr>
        <w:spacing w:line="259" w:lineRule="auto"/>
        <w:rPr>
          <w:rFonts w:ascii="Arial" w:hAnsi="Arial" w:cs="Arial"/>
          <w:sz w:val="24"/>
        </w:rPr>
      </w:pPr>
      <w:r w:rsidRPr="00280CF5">
        <w:rPr>
          <w:rFonts w:ascii="Arial" w:hAnsi="Arial" w:cs="Arial"/>
          <w:sz w:val="24"/>
        </w:rPr>
        <w:t xml:space="preserve">Focus: Having </w:t>
      </w:r>
      <w:r w:rsidR="00D50855">
        <w:rPr>
          <w:rFonts w:ascii="Arial" w:hAnsi="Arial" w:cs="Arial"/>
          <w:sz w:val="24"/>
        </w:rPr>
        <w:t xml:space="preserve">a </w:t>
      </w:r>
      <w:r w:rsidRPr="00280CF5">
        <w:rPr>
          <w:rFonts w:ascii="Arial" w:hAnsi="Arial" w:cs="Arial"/>
          <w:sz w:val="24"/>
        </w:rPr>
        <w:t>supportive family and social relationships is one of the main factors associated with a successful transition from school or vocational programmes to employment. This paper explore</w:t>
      </w:r>
      <w:r w:rsidR="00D50855">
        <w:rPr>
          <w:rFonts w:ascii="Arial" w:hAnsi="Arial" w:cs="Arial"/>
          <w:sz w:val="24"/>
        </w:rPr>
        <w:t>s</w:t>
      </w:r>
      <w:r w:rsidRPr="00280CF5">
        <w:rPr>
          <w:rFonts w:ascii="Arial" w:hAnsi="Arial" w:cs="Arial"/>
          <w:sz w:val="24"/>
        </w:rPr>
        <w:t xml:space="preserve"> the literature regarding parents’ experience of their child with a disability’s transition from school and looks at the experience of parents involved in Ticket to Work. </w:t>
      </w:r>
    </w:p>
    <w:p w14:paraId="6A34374E" w14:textId="33E04F4F" w:rsidR="00596A59" w:rsidRPr="00280CF5" w:rsidRDefault="00A2638E" w:rsidP="00596A59">
      <w:pPr>
        <w:spacing w:line="259" w:lineRule="auto"/>
        <w:rPr>
          <w:rFonts w:ascii="Arial" w:hAnsi="Arial" w:cs="Arial"/>
          <w:sz w:val="24"/>
        </w:rPr>
      </w:pPr>
      <w:hyperlink r:id="rId36" w:history="1">
        <w:r w:rsidR="00D50855">
          <w:rPr>
            <w:rStyle w:val="Hyperlink"/>
            <w:rFonts w:ascii="Arial" w:hAnsi="Arial" w:cs="Arial"/>
            <w:sz w:val="24"/>
          </w:rPr>
          <w:t>Access the ‘Parent engagement’</w:t>
        </w:r>
        <w:r w:rsidR="00596A59" w:rsidRPr="00280CF5">
          <w:rPr>
            <w:rStyle w:val="Hyperlink"/>
            <w:rFonts w:ascii="Arial" w:hAnsi="Arial" w:cs="Arial"/>
            <w:sz w:val="24"/>
          </w:rPr>
          <w:t xml:space="preserve"> report</w:t>
        </w:r>
      </w:hyperlink>
    </w:p>
    <w:p w14:paraId="703A95F5" w14:textId="77777777" w:rsidR="00596A59" w:rsidRPr="00280CF5" w:rsidRDefault="00596A59" w:rsidP="00596A59">
      <w:pPr>
        <w:spacing w:line="259" w:lineRule="auto"/>
        <w:rPr>
          <w:rFonts w:ascii="Arial" w:hAnsi="Arial" w:cs="Arial"/>
          <w:sz w:val="24"/>
        </w:rPr>
      </w:pPr>
      <w:r w:rsidRPr="00280CF5">
        <w:rPr>
          <w:rFonts w:ascii="Arial" w:hAnsi="Arial" w:cs="Arial"/>
          <w:b/>
          <w:sz w:val="24"/>
        </w:rPr>
        <w:t>Title: Collaboration – the key to unlocking a successful future for young people with disability</w:t>
      </w:r>
      <w:r w:rsidRPr="00280CF5">
        <w:rPr>
          <w:rFonts w:ascii="Arial" w:hAnsi="Arial" w:cs="Arial"/>
          <w:sz w:val="24"/>
        </w:rPr>
        <w:t xml:space="preserve"> (2019) by Dr. Denis Meadow </w:t>
      </w:r>
    </w:p>
    <w:p w14:paraId="1297C40E" w14:textId="6FAAC275" w:rsidR="00596A59" w:rsidRPr="00280CF5" w:rsidRDefault="00596A59" w:rsidP="00596A59">
      <w:pPr>
        <w:spacing w:line="259" w:lineRule="auto"/>
        <w:rPr>
          <w:rFonts w:ascii="Arial" w:hAnsi="Arial" w:cs="Arial"/>
          <w:sz w:val="24"/>
        </w:rPr>
      </w:pPr>
      <w:r w:rsidRPr="00280CF5">
        <w:rPr>
          <w:rFonts w:ascii="Arial" w:hAnsi="Arial" w:cs="Arial"/>
          <w:sz w:val="24"/>
        </w:rPr>
        <w:t>Focus</w:t>
      </w:r>
      <w:r w:rsidR="00D50855">
        <w:rPr>
          <w:rFonts w:ascii="Arial" w:hAnsi="Arial" w:cs="Arial"/>
          <w:sz w:val="24"/>
        </w:rPr>
        <w:t>:</w:t>
      </w:r>
      <w:r w:rsidRPr="00280CF5">
        <w:rPr>
          <w:rFonts w:ascii="Arial" w:hAnsi="Arial" w:cs="Arial"/>
          <w:sz w:val="24"/>
        </w:rPr>
        <w:t xml:space="preserve"> This paper examine</w:t>
      </w:r>
      <w:r w:rsidR="00D50855">
        <w:rPr>
          <w:rFonts w:ascii="Arial" w:hAnsi="Arial" w:cs="Arial"/>
          <w:sz w:val="24"/>
        </w:rPr>
        <w:t>s</w:t>
      </w:r>
      <w:r w:rsidRPr="00280CF5">
        <w:rPr>
          <w:rFonts w:ascii="Arial" w:hAnsi="Arial" w:cs="Arial"/>
          <w:sz w:val="24"/>
        </w:rPr>
        <w:t xml:space="preserve"> the literature and explore</w:t>
      </w:r>
      <w:r w:rsidR="00D50855">
        <w:rPr>
          <w:rFonts w:ascii="Arial" w:hAnsi="Arial" w:cs="Arial"/>
          <w:sz w:val="24"/>
        </w:rPr>
        <w:t>s</w:t>
      </w:r>
      <w:r w:rsidRPr="00280CF5">
        <w:rPr>
          <w:rFonts w:ascii="Arial" w:hAnsi="Arial" w:cs="Arial"/>
          <w:sz w:val="24"/>
        </w:rPr>
        <w:t xml:space="preserve"> interagency collaboration as a mechanism to improve post-school transitions for students with a disability.</w:t>
      </w:r>
    </w:p>
    <w:p w14:paraId="6348FDDD" w14:textId="3F4F67E2" w:rsidR="00596A59" w:rsidRPr="00280CF5" w:rsidRDefault="00A2638E" w:rsidP="00596A59">
      <w:pPr>
        <w:spacing w:line="259" w:lineRule="auto"/>
        <w:rPr>
          <w:rFonts w:ascii="Arial" w:hAnsi="Arial" w:cs="Arial"/>
          <w:sz w:val="24"/>
        </w:rPr>
      </w:pPr>
      <w:hyperlink r:id="rId37" w:history="1">
        <w:r w:rsidR="00D50855">
          <w:rPr>
            <w:rStyle w:val="Hyperlink"/>
            <w:rFonts w:ascii="Arial" w:hAnsi="Arial" w:cs="Arial"/>
            <w:sz w:val="24"/>
          </w:rPr>
          <w:t>Access the ‘Collaboration’</w:t>
        </w:r>
        <w:r w:rsidR="00596A59" w:rsidRPr="00280CF5">
          <w:rPr>
            <w:rStyle w:val="Hyperlink"/>
            <w:rFonts w:ascii="Arial" w:hAnsi="Arial" w:cs="Arial"/>
            <w:sz w:val="24"/>
          </w:rPr>
          <w:t xml:space="preserve"> report</w:t>
        </w:r>
      </w:hyperlink>
      <w:r w:rsidR="00596A59" w:rsidRPr="00280CF5">
        <w:rPr>
          <w:rFonts w:ascii="Arial" w:hAnsi="Arial" w:cs="Arial"/>
          <w:sz w:val="24"/>
        </w:rPr>
        <w:t xml:space="preserve"> </w:t>
      </w:r>
    </w:p>
    <w:p w14:paraId="023FEAA5" w14:textId="77777777" w:rsidR="00596A59" w:rsidRPr="00280CF5" w:rsidRDefault="00596A59" w:rsidP="00596A59">
      <w:pPr>
        <w:spacing w:line="259" w:lineRule="auto"/>
        <w:rPr>
          <w:rFonts w:ascii="Arial" w:hAnsi="Arial" w:cs="Arial"/>
          <w:b/>
          <w:sz w:val="24"/>
        </w:rPr>
      </w:pPr>
      <w:r w:rsidRPr="00280CF5">
        <w:rPr>
          <w:rFonts w:ascii="Arial" w:hAnsi="Arial" w:cs="Arial"/>
          <w:b/>
          <w:sz w:val="24"/>
        </w:rPr>
        <w:t>Title: Ticket to Work Network Analysis</w:t>
      </w:r>
      <w:r w:rsidRPr="00280CF5">
        <w:rPr>
          <w:rFonts w:ascii="Arial" w:hAnsi="Arial" w:cs="Arial"/>
          <w:sz w:val="24"/>
        </w:rPr>
        <w:t xml:space="preserve"> (2019) by ARTD Consultants  </w:t>
      </w:r>
    </w:p>
    <w:p w14:paraId="691969DF" w14:textId="64512F4D" w:rsidR="00596A59" w:rsidRPr="00280CF5" w:rsidRDefault="00596A59" w:rsidP="00596A59">
      <w:pPr>
        <w:spacing w:line="259" w:lineRule="auto"/>
        <w:rPr>
          <w:rFonts w:ascii="Arial" w:hAnsi="Arial" w:cs="Arial"/>
          <w:sz w:val="24"/>
        </w:rPr>
      </w:pPr>
      <w:r w:rsidRPr="00280CF5">
        <w:rPr>
          <w:rFonts w:ascii="Arial" w:hAnsi="Arial" w:cs="Arial"/>
          <w:sz w:val="24"/>
        </w:rPr>
        <w:t xml:space="preserve">Focus: This report provides the findings from a partnership assessment for nine Ticket to Work networks operating in five Australian states. It identifies key successes and challenges of Ticket to Work partnerships and how they work to support young people with disability into employment.  </w:t>
      </w:r>
    </w:p>
    <w:p w14:paraId="0EFF771E" w14:textId="5A86290E" w:rsidR="00596A59" w:rsidRPr="00280CF5" w:rsidRDefault="00A2638E" w:rsidP="00596A59">
      <w:pPr>
        <w:spacing w:line="259" w:lineRule="auto"/>
        <w:rPr>
          <w:rFonts w:ascii="Arial" w:hAnsi="Arial" w:cs="Arial"/>
          <w:sz w:val="24"/>
        </w:rPr>
      </w:pPr>
      <w:hyperlink r:id="rId38" w:history="1">
        <w:r w:rsidR="00D50855">
          <w:rPr>
            <w:rStyle w:val="Hyperlink"/>
            <w:rFonts w:ascii="Arial" w:hAnsi="Arial" w:cs="Arial"/>
            <w:sz w:val="24"/>
          </w:rPr>
          <w:t>Access the ‘Network Analysis’</w:t>
        </w:r>
        <w:r w:rsidR="00596A59" w:rsidRPr="00280CF5">
          <w:rPr>
            <w:rStyle w:val="Hyperlink"/>
            <w:rFonts w:ascii="Arial" w:hAnsi="Arial" w:cs="Arial"/>
            <w:sz w:val="24"/>
          </w:rPr>
          <w:t xml:space="preserve"> report</w:t>
        </w:r>
      </w:hyperlink>
      <w:r w:rsidR="00596A59" w:rsidRPr="00280CF5">
        <w:rPr>
          <w:rFonts w:ascii="Arial" w:hAnsi="Arial" w:cs="Arial"/>
          <w:sz w:val="24"/>
        </w:rPr>
        <w:t xml:space="preserve"> </w:t>
      </w:r>
    </w:p>
    <w:p w14:paraId="0976E078" w14:textId="77777777" w:rsidR="003F5883" w:rsidRDefault="003F5883" w:rsidP="00596A59">
      <w:pPr>
        <w:pStyle w:val="Bulletlist"/>
        <w:numPr>
          <w:ilvl w:val="0"/>
          <w:numId w:val="0"/>
        </w:numPr>
        <w:spacing w:line="259" w:lineRule="auto"/>
        <w:rPr>
          <w:b/>
          <w:sz w:val="24"/>
          <w:szCs w:val="24"/>
        </w:rPr>
      </w:pPr>
    </w:p>
    <w:p w14:paraId="798981FA" w14:textId="296E59C7" w:rsidR="00596A59" w:rsidRPr="00280CF5" w:rsidRDefault="00596A59" w:rsidP="00596A59">
      <w:pPr>
        <w:pStyle w:val="Bulletlist"/>
        <w:numPr>
          <w:ilvl w:val="0"/>
          <w:numId w:val="0"/>
        </w:numPr>
        <w:spacing w:line="259" w:lineRule="auto"/>
        <w:rPr>
          <w:sz w:val="24"/>
          <w:szCs w:val="24"/>
        </w:rPr>
      </w:pPr>
      <w:r w:rsidRPr="00280CF5">
        <w:rPr>
          <w:b/>
          <w:sz w:val="24"/>
          <w:szCs w:val="24"/>
        </w:rPr>
        <w:lastRenderedPageBreak/>
        <w:t>Title: Effective school to employment transitions for young people with disability. A Rapid Review of the Literature</w:t>
      </w:r>
      <w:r w:rsidRPr="00280CF5">
        <w:rPr>
          <w:sz w:val="24"/>
          <w:szCs w:val="24"/>
        </w:rPr>
        <w:t xml:space="preserve"> (2017). Sheppard, L., Harrington, R. &amp; Howard, K.</w:t>
      </w:r>
    </w:p>
    <w:p w14:paraId="2B4C49FC" w14:textId="67E1E3C3" w:rsidR="00596A59" w:rsidRPr="00280CF5" w:rsidRDefault="00596A59" w:rsidP="00596A59">
      <w:pPr>
        <w:pStyle w:val="Bulletlist"/>
        <w:numPr>
          <w:ilvl w:val="0"/>
          <w:numId w:val="0"/>
        </w:numPr>
        <w:spacing w:line="259" w:lineRule="auto"/>
        <w:rPr>
          <w:sz w:val="24"/>
          <w:szCs w:val="24"/>
        </w:rPr>
      </w:pPr>
      <w:r w:rsidRPr="00280CF5">
        <w:rPr>
          <w:sz w:val="24"/>
          <w:szCs w:val="24"/>
        </w:rPr>
        <w:t>Focus:</w:t>
      </w:r>
      <w:r w:rsidR="00D50855">
        <w:rPr>
          <w:sz w:val="24"/>
          <w:szCs w:val="24"/>
        </w:rPr>
        <w:t xml:space="preserve"> </w:t>
      </w:r>
      <w:r w:rsidRPr="00280CF5">
        <w:rPr>
          <w:sz w:val="24"/>
          <w:szCs w:val="24"/>
        </w:rPr>
        <w:t xml:space="preserve">This Research to Action Guide articulates the key components of best practice for supporting the transition from school to employment for young adults with disability in Australia, based on the best available evidence. </w:t>
      </w:r>
    </w:p>
    <w:p w14:paraId="28BF0D42" w14:textId="6BB81B44" w:rsidR="00596A59" w:rsidRPr="00280CF5" w:rsidRDefault="00A2638E" w:rsidP="00596A59">
      <w:pPr>
        <w:pStyle w:val="Bulletlist"/>
        <w:numPr>
          <w:ilvl w:val="0"/>
          <w:numId w:val="0"/>
        </w:numPr>
        <w:spacing w:line="259" w:lineRule="auto"/>
        <w:rPr>
          <w:sz w:val="24"/>
          <w:szCs w:val="24"/>
        </w:rPr>
      </w:pPr>
      <w:hyperlink r:id="rId39" w:history="1">
        <w:r w:rsidR="00D50855" w:rsidRPr="00FC0318">
          <w:rPr>
            <w:rStyle w:val="Hyperlink"/>
            <w:sz w:val="24"/>
            <w:szCs w:val="24"/>
          </w:rPr>
          <w:t xml:space="preserve">Access the </w:t>
        </w:r>
        <w:r w:rsidR="00FC0318" w:rsidRPr="00FC0318">
          <w:rPr>
            <w:rStyle w:val="Hyperlink"/>
            <w:sz w:val="24"/>
            <w:szCs w:val="24"/>
          </w:rPr>
          <w:t>‘Rapid review of the literature’</w:t>
        </w:r>
      </w:hyperlink>
    </w:p>
    <w:p w14:paraId="446C661B" w14:textId="24609ED8" w:rsidR="00596A59" w:rsidRPr="00280CF5" w:rsidRDefault="00596A59" w:rsidP="00596A59">
      <w:pPr>
        <w:pStyle w:val="Bulletlist"/>
        <w:numPr>
          <w:ilvl w:val="0"/>
          <w:numId w:val="0"/>
        </w:numPr>
        <w:spacing w:line="259" w:lineRule="auto"/>
        <w:rPr>
          <w:sz w:val="24"/>
          <w:szCs w:val="24"/>
        </w:rPr>
      </w:pPr>
      <w:r w:rsidRPr="00280CF5">
        <w:rPr>
          <w:sz w:val="24"/>
          <w:szCs w:val="24"/>
        </w:rPr>
        <w:t xml:space="preserve">Other reports/research/submission can be found </w:t>
      </w:r>
      <w:hyperlink r:id="rId40" w:history="1">
        <w:r w:rsidRPr="00FC0318">
          <w:rPr>
            <w:rStyle w:val="Hyperlink"/>
            <w:sz w:val="24"/>
            <w:szCs w:val="24"/>
          </w:rPr>
          <w:t>TickettoWork.org.au</w:t>
        </w:r>
      </w:hyperlink>
      <w:r w:rsidRPr="00280CF5">
        <w:rPr>
          <w:sz w:val="24"/>
          <w:szCs w:val="24"/>
        </w:rPr>
        <w:t xml:space="preserve"> </w:t>
      </w:r>
    </w:p>
    <w:bookmarkEnd w:id="0"/>
    <w:p w14:paraId="0D95FE71" w14:textId="77777777" w:rsidR="00596A59" w:rsidRPr="00280CF5" w:rsidRDefault="00596A59" w:rsidP="00596A59">
      <w:pPr>
        <w:spacing w:line="259" w:lineRule="auto"/>
        <w:rPr>
          <w:rFonts w:ascii="Arial" w:hAnsi="Arial" w:cs="Arial"/>
          <w:sz w:val="24"/>
        </w:rPr>
      </w:pPr>
    </w:p>
    <w:sectPr w:rsidR="00596A59" w:rsidRPr="00280CF5" w:rsidSect="00410AAE">
      <w:headerReference w:type="even" r:id="rId41"/>
      <w:headerReference w:type="default" r:id="rId42"/>
      <w:footerReference w:type="default" r:id="rId43"/>
      <w:headerReference w:type="first" r:id="rId44"/>
      <w:type w:val="continuous"/>
      <w:pgSz w:w="11906" w:h="16838"/>
      <w:pgMar w:top="1134" w:right="1418" w:bottom="1418" w:left="1134" w:header="284"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99C25" w14:textId="77777777" w:rsidR="00A2638E" w:rsidRDefault="00A2638E" w:rsidP="00896389">
      <w:pPr>
        <w:spacing w:before="0" w:after="0" w:line="240" w:lineRule="auto"/>
      </w:pPr>
      <w:r>
        <w:separator/>
      </w:r>
    </w:p>
  </w:endnote>
  <w:endnote w:type="continuationSeparator" w:id="0">
    <w:p w14:paraId="439DF668" w14:textId="77777777" w:rsidR="00A2638E" w:rsidRDefault="00A2638E" w:rsidP="0089638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5049954"/>
      <w:docPartObj>
        <w:docPartGallery w:val="Page Numbers (Bottom of Page)"/>
        <w:docPartUnique/>
      </w:docPartObj>
    </w:sdtPr>
    <w:sdtEndPr>
      <w:rPr>
        <w:noProof/>
      </w:rPr>
    </w:sdtEndPr>
    <w:sdtContent>
      <w:p w14:paraId="0D7B73ED" w14:textId="2AFB5B32" w:rsidR="00E439CB" w:rsidRDefault="00E439C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9A8E81A" w14:textId="77777777" w:rsidR="00E439CB" w:rsidRDefault="00E439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D36CD" w14:textId="77777777" w:rsidR="00A2638E" w:rsidRDefault="00A2638E" w:rsidP="00896389">
      <w:pPr>
        <w:spacing w:before="0" w:after="0" w:line="240" w:lineRule="auto"/>
      </w:pPr>
      <w:r>
        <w:separator/>
      </w:r>
    </w:p>
  </w:footnote>
  <w:footnote w:type="continuationSeparator" w:id="0">
    <w:p w14:paraId="6E9792D6" w14:textId="77777777" w:rsidR="00A2638E" w:rsidRDefault="00A2638E" w:rsidP="00896389">
      <w:pPr>
        <w:spacing w:before="0" w:after="0" w:line="240" w:lineRule="auto"/>
      </w:pPr>
      <w:r>
        <w:continuationSeparator/>
      </w:r>
    </w:p>
  </w:footnote>
  <w:footnote w:id="1">
    <w:p w14:paraId="39A7F8C0" w14:textId="77777777" w:rsidR="00EF377E" w:rsidRPr="00856144" w:rsidRDefault="00EF377E" w:rsidP="00EF377E">
      <w:pPr>
        <w:pStyle w:val="FootnoteText"/>
        <w:rPr>
          <w:rFonts w:ascii="Arial" w:hAnsi="Arial" w:cs="Arial"/>
          <w:lang w:val="en-US"/>
        </w:rPr>
      </w:pPr>
      <w:r w:rsidRPr="00856144">
        <w:rPr>
          <w:rStyle w:val="FootnoteReference"/>
          <w:rFonts w:ascii="Arial" w:hAnsi="Arial" w:cs="Arial"/>
        </w:rPr>
        <w:footnoteRef/>
      </w:r>
      <w:r w:rsidRPr="00856144">
        <w:rPr>
          <w:rFonts w:ascii="Arial" w:hAnsi="Arial" w:cs="Arial"/>
        </w:rPr>
        <w:t xml:space="preserve"> Fortune, N., Llewellyn, G., Stancliffe,R. Badland, H., Emerson, E. (2021). Disadvantage facing young people with disability in Australia. University of Melbourne. https://doi.org/10.26188/14531763 Available at: Disadvantage facing young people with disability in Australia</w:t>
      </w:r>
    </w:p>
  </w:footnote>
  <w:footnote w:id="2">
    <w:p w14:paraId="7BFEB629" w14:textId="77777777" w:rsidR="00EF377E" w:rsidRPr="00856144" w:rsidRDefault="00EF377E" w:rsidP="00EF377E">
      <w:pPr>
        <w:pStyle w:val="FootnoteText"/>
        <w:rPr>
          <w:rFonts w:ascii="Arial" w:hAnsi="Arial" w:cs="Arial"/>
          <w:lang w:val="en-US"/>
        </w:rPr>
      </w:pPr>
      <w:r w:rsidRPr="00856144">
        <w:rPr>
          <w:rStyle w:val="FootnoteReference"/>
          <w:rFonts w:ascii="Arial" w:hAnsi="Arial" w:cs="Arial"/>
        </w:rPr>
        <w:footnoteRef/>
      </w:r>
      <w:r w:rsidRPr="00856144">
        <w:rPr>
          <w:rFonts w:ascii="Arial" w:hAnsi="Arial" w:cs="Arial"/>
        </w:rPr>
        <w:t xml:space="preserve"> </w:t>
      </w:r>
      <w:r w:rsidRPr="00856144">
        <w:rPr>
          <w:rFonts w:ascii="Arial" w:eastAsia="Calibri" w:hAnsi="Arial" w:cs="Arial"/>
          <w:szCs w:val="24"/>
        </w:rPr>
        <w:t xml:space="preserve">Emerson, E., &amp; Llewellyn, G. (2014). </w:t>
      </w:r>
      <w:r w:rsidRPr="00856144">
        <w:rPr>
          <w:rFonts w:ascii="Arial" w:eastAsia="Calibri" w:hAnsi="Arial" w:cs="Arial"/>
          <w:i/>
          <w:szCs w:val="24"/>
        </w:rPr>
        <w:t>Left Behind 2014: Monitoring the Social Inclusion of Young Australians with Self Reported Long Term Health Conditions, Impairments or Disabilities 2001-2012</w:t>
      </w:r>
      <w:r w:rsidRPr="00856144">
        <w:rPr>
          <w:rFonts w:ascii="Arial" w:eastAsia="Calibri" w:hAnsi="Arial" w:cs="Arial"/>
          <w:szCs w:val="24"/>
        </w:rPr>
        <w:t xml:space="preserve"> (2203-7381).</w:t>
      </w:r>
    </w:p>
  </w:footnote>
  <w:footnote w:id="3">
    <w:p w14:paraId="446C8113" w14:textId="69C9D2B5" w:rsidR="001460C9" w:rsidRPr="001460C9" w:rsidRDefault="001460C9" w:rsidP="008F114E">
      <w:pPr>
        <w:pStyle w:val="EndnoteText"/>
        <w:rPr>
          <w:lang w:val="en-US"/>
        </w:rPr>
      </w:pPr>
      <w:r>
        <w:rPr>
          <w:rStyle w:val="FootnoteReference"/>
        </w:rPr>
        <w:footnoteRef/>
      </w:r>
      <w:hyperlink r:id="rId1" w:history="1">
        <w:r w:rsidRPr="003C7AB8">
          <w:rPr>
            <w:rStyle w:val="Hyperlink"/>
          </w:rPr>
          <w:t>tickettowork.org.au/media/download_resources/word/7._Transitions_to_Employment_of_Australian_Young_People_with_Dis_HSiO079.pdf</w:t>
        </w:r>
      </w:hyperlink>
    </w:p>
  </w:footnote>
  <w:footnote w:id="4">
    <w:p w14:paraId="27DCBFC3" w14:textId="672E2C19" w:rsidR="001460C9" w:rsidRPr="001460C9" w:rsidRDefault="001460C9">
      <w:pPr>
        <w:pStyle w:val="FootnoteText"/>
        <w:rPr>
          <w:lang w:val="en-US"/>
        </w:rPr>
      </w:pPr>
      <w:r>
        <w:rPr>
          <w:rStyle w:val="FootnoteReference"/>
        </w:rPr>
        <w:footnoteRef/>
      </w:r>
      <w:r>
        <w:t xml:space="preserve"> </w:t>
      </w:r>
      <w:hyperlink r:id="rId2" w:history="1">
        <w:r w:rsidRPr="00130150">
          <w:rPr>
            <w:rStyle w:val="Hyperlink"/>
            <w:rFonts w:cs="Arial"/>
            <w:sz w:val="24"/>
            <w:szCs w:val="24"/>
          </w:rPr>
          <w:t>People with disability in Australia 2020: in brief (aihw.gov.au)</w:t>
        </w:r>
      </w:hyperlink>
      <w:r w:rsidRPr="00130150">
        <w:rPr>
          <w:rFonts w:cs="Arial"/>
          <w:sz w:val="24"/>
          <w:szCs w:val="24"/>
        </w:rPr>
        <w:t>.</w:t>
      </w:r>
    </w:p>
  </w:footnote>
  <w:footnote w:id="5">
    <w:p w14:paraId="71C62039" w14:textId="77777777" w:rsidR="004C15C0" w:rsidRPr="001460C9" w:rsidRDefault="004C15C0" w:rsidP="004C15C0">
      <w:pPr>
        <w:pStyle w:val="FootnoteText"/>
        <w:rPr>
          <w:lang w:val="en-US"/>
        </w:rPr>
      </w:pPr>
      <w:r>
        <w:rPr>
          <w:rStyle w:val="FootnoteReference"/>
        </w:rPr>
        <w:footnoteRef/>
      </w:r>
      <w:r>
        <w:t xml:space="preserve"> </w:t>
      </w:r>
      <w:r w:rsidRPr="00A3715C">
        <w:t xml:space="preserve">https://www.aihw.gov.au/getmedia/419adf38-dc20-4e73-b17d-a2af1fd505a6/AW15-4-8-Vulnerable-young-people-aged-15-24.pdf.aspx </w:t>
      </w:r>
      <w:hyperlink r:id="rId3" w:history="1">
        <w:r>
          <w:rPr>
            <w:rStyle w:val="Hyperlink"/>
          </w:rPr>
          <w:t>Chapter 4.8 Vulnerable young people (aged 15–24) (feature article; Australia's welfare 2015)(AIHW)</w:t>
        </w:r>
      </w:hyperlink>
    </w:p>
  </w:footnote>
  <w:footnote w:id="6">
    <w:p w14:paraId="0D22BA94" w14:textId="54B6E218" w:rsidR="004D2405" w:rsidRPr="004D2405" w:rsidRDefault="00A2638E" w:rsidP="00A03772">
      <w:pPr>
        <w:pStyle w:val="FootnoteText"/>
      </w:pPr>
      <w:hyperlink r:id="rId4" w:history="1">
        <w:r w:rsidR="00A03772">
          <w:rPr>
            <w:rStyle w:val="Hyperlink"/>
          </w:rPr>
          <w:t>Chapter 4.8 Vulnerable young people (aged 15–24) (feature article; Australia's welfare 2015)(AIHW)</w:t>
        </w:r>
      </w:hyperlink>
      <w:r w:rsidR="00A03772" w:rsidRPr="00A03772">
        <w:rPr>
          <w:rStyle w:val="FootnoteReference"/>
        </w:rPr>
        <w:t xml:space="preserve"> </w:t>
      </w:r>
      <w:r w:rsidR="00A03772">
        <w:rPr>
          <w:rStyle w:val="FootnoteReference"/>
        </w:rPr>
        <w:footnoteRef/>
      </w:r>
      <w:r w:rsidR="00A03772">
        <w:t xml:space="preserve"> </w:t>
      </w:r>
      <w:hyperlink r:id="rId5" w:history="1">
        <w:r w:rsidR="004D2405" w:rsidRPr="003C7AB8">
          <w:rPr>
            <w:rStyle w:val="Hyperlink"/>
          </w:rPr>
          <w:t>https://www.aihw.gov.au/getmedia/419adf38-dc20-4e73-b17d-a2af1fd505a6/AW15-4-8-Vulnerable-young-people-aged-15-24.pdf.aspx</w:t>
        </w:r>
      </w:hyperlink>
    </w:p>
  </w:footnote>
  <w:footnote w:id="7">
    <w:p w14:paraId="785FA1D3" w14:textId="10738FC8" w:rsidR="004D2405" w:rsidRPr="004D2405" w:rsidRDefault="004D2405">
      <w:pPr>
        <w:pStyle w:val="FootnoteText"/>
        <w:rPr>
          <w:lang w:val="en-US"/>
        </w:rPr>
      </w:pPr>
      <w:r>
        <w:rPr>
          <w:rStyle w:val="FootnoteReference"/>
        </w:rPr>
        <w:footnoteRef/>
      </w:r>
      <w:r>
        <w:t xml:space="preserve"> </w:t>
      </w:r>
      <w:r w:rsidRPr="004D2405">
        <w:t>https://www.aihw.gov.au/reports/disability/people-with-disability-in-australia/data?page=3</w:t>
      </w:r>
    </w:p>
  </w:footnote>
  <w:footnote w:id="8">
    <w:p w14:paraId="65B52ED7" w14:textId="013F3E1D" w:rsidR="004D2405" w:rsidRPr="004D2405" w:rsidRDefault="004D2405">
      <w:pPr>
        <w:pStyle w:val="FootnoteText"/>
        <w:rPr>
          <w:lang w:val="en-US"/>
        </w:rPr>
      </w:pPr>
      <w:r>
        <w:rPr>
          <w:rStyle w:val="FootnoteReference"/>
        </w:rPr>
        <w:footnoteRef/>
      </w:r>
      <w:r>
        <w:t xml:space="preserve"> </w:t>
      </w:r>
      <w:r w:rsidRPr="004D2405">
        <w:t>https://www.aihw.gov.au/reports/australias-welfare/secondary-education-school-retention-completion</w:t>
      </w:r>
    </w:p>
  </w:footnote>
  <w:footnote w:id="9">
    <w:p w14:paraId="06837A53" w14:textId="594F1EE9" w:rsidR="001460C9" w:rsidRPr="001460C9" w:rsidRDefault="001460C9">
      <w:pPr>
        <w:pStyle w:val="FootnoteText"/>
        <w:rPr>
          <w:lang w:val="en-US"/>
        </w:rPr>
      </w:pPr>
      <w:r>
        <w:rPr>
          <w:rStyle w:val="FootnoteReference"/>
        </w:rPr>
        <w:footnoteRef/>
      </w:r>
      <w:r>
        <w:t xml:space="preserve"> </w:t>
      </w:r>
      <w:r w:rsidRPr="001C2C05">
        <w:t>www.dese.gov.au/transition-work/resources/transition-work-consultation-paper</w:t>
      </w:r>
    </w:p>
  </w:footnote>
  <w:footnote w:id="10">
    <w:p w14:paraId="38A8EE7A" w14:textId="77777777" w:rsidR="005364ED" w:rsidRPr="008E0192" w:rsidRDefault="005364ED" w:rsidP="008E0192">
      <w:pPr>
        <w:pStyle w:val="FootnoteText"/>
        <w:spacing w:after="120"/>
        <w:rPr>
          <w:rFonts w:cstheme="minorHAnsi"/>
          <w:lang w:val="en-US"/>
        </w:rPr>
      </w:pPr>
      <w:r w:rsidRPr="00534889">
        <w:rPr>
          <w:rStyle w:val="FootnoteReference"/>
          <w:rFonts w:ascii="Arial" w:hAnsi="Arial" w:cs="Arial"/>
          <w:sz w:val="16"/>
          <w:szCs w:val="16"/>
        </w:rPr>
        <w:footnoteRef/>
      </w:r>
      <w:r w:rsidRPr="00534889">
        <w:rPr>
          <w:rFonts w:ascii="Arial" w:hAnsi="Arial" w:cs="Arial"/>
          <w:sz w:val="16"/>
          <w:szCs w:val="16"/>
        </w:rPr>
        <w:t xml:space="preserve"> </w:t>
      </w:r>
      <w:r w:rsidRPr="008E0192">
        <w:rPr>
          <w:rFonts w:cstheme="minorHAnsi"/>
        </w:rPr>
        <w:t>Hall, S., Fildes, J., Liyanarachchi, D., Plummer, J. and Reynolds, M. (2020) Young, Willing and Able - Youth Survey Disability Report 2019. Mission Australia: Sydney, NSW</w:t>
      </w:r>
    </w:p>
  </w:footnote>
  <w:footnote w:id="11">
    <w:p w14:paraId="747F6C59" w14:textId="77777777" w:rsidR="00D75926" w:rsidRPr="00530963" w:rsidRDefault="00D75926" w:rsidP="00D75926">
      <w:pPr>
        <w:pStyle w:val="FootnoteText"/>
        <w:rPr>
          <w:lang w:val="en-US"/>
        </w:rPr>
      </w:pPr>
      <w:r>
        <w:rPr>
          <w:rStyle w:val="FootnoteReference"/>
        </w:rPr>
        <w:footnoteRef/>
      </w:r>
      <w:r>
        <w:t xml:space="preserve"> </w:t>
      </w:r>
      <w:r w:rsidRPr="00774E65">
        <w:t>https://www.aihw.gov.au/reports/disability/people-with-disability-in-australia/contents/education-and-skills/engagement-in-education</w:t>
      </w:r>
    </w:p>
  </w:footnote>
  <w:footnote w:id="12">
    <w:p w14:paraId="3275BDCB" w14:textId="3CB1DD51" w:rsidR="00596A59" w:rsidRPr="008E0192" w:rsidRDefault="00596A59" w:rsidP="008E0192">
      <w:pPr>
        <w:spacing w:before="0" w:after="120" w:line="240" w:lineRule="auto"/>
        <w:rPr>
          <w:rFonts w:cstheme="minorHAnsi"/>
          <w:color w:val="auto"/>
          <w:spacing w:val="0"/>
          <w:sz w:val="20"/>
          <w:szCs w:val="20"/>
        </w:rPr>
      </w:pPr>
      <w:r w:rsidRPr="008E0192">
        <w:rPr>
          <w:rStyle w:val="FootnoteReference"/>
          <w:rFonts w:cstheme="minorHAnsi"/>
          <w:sz w:val="20"/>
          <w:szCs w:val="20"/>
        </w:rPr>
        <w:footnoteRef/>
      </w:r>
      <w:r w:rsidRPr="008E0192">
        <w:rPr>
          <w:rFonts w:cstheme="minorHAnsi"/>
          <w:sz w:val="20"/>
          <w:szCs w:val="20"/>
        </w:rPr>
        <w:t xml:space="preserve"> Referrals to DES were around one per cent of the exit reasons recorded. www.dese.gov.au/transition-work/resources/transition-work-interim-evaluation-report</w:t>
      </w:r>
    </w:p>
  </w:footnote>
  <w:footnote w:id="13">
    <w:p w14:paraId="3F34F3C1" w14:textId="77777777" w:rsidR="008E0192" w:rsidRPr="008E0192" w:rsidRDefault="008E0192" w:rsidP="008E0192">
      <w:pPr>
        <w:spacing w:before="0" w:after="120" w:line="240" w:lineRule="auto"/>
        <w:rPr>
          <w:rFonts w:cstheme="minorHAnsi"/>
          <w:color w:val="auto"/>
          <w:sz w:val="20"/>
          <w:szCs w:val="20"/>
          <w:shd w:val="clear" w:color="auto" w:fill="FFFFFF"/>
        </w:rPr>
      </w:pPr>
      <w:r w:rsidRPr="008E0192">
        <w:rPr>
          <w:rStyle w:val="FootnoteReference"/>
          <w:rFonts w:cstheme="minorHAnsi"/>
          <w:sz w:val="20"/>
          <w:szCs w:val="20"/>
        </w:rPr>
        <w:footnoteRef/>
      </w:r>
      <w:r w:rsidRPr="008E0192">
        <w:rPr>
          <w:rFonts w:cstheme="minorHAnsi"/>
          <w:sz w:val="20"/>
          <w:szCs w:val="20"/>
        </w:rPr>
        <w:t xml:space="preserve"> https://www.dss.gov.au/disability-and-carers-programs-services-disability-employment-services/mid-term-review-of-the-disability-employment-services-des-program</w:t>
      </w:r>
    </w:p>
  </w:footnote>
  <w:footnote w:id="14">
    <w:p w14:paraId="6A116F7F" w14:textId="77777777" w:rsidR="001C2C05" w:rsidRPr="001460C9" w:rsidRDefault="001C2C05" w:rsidP="00856144">
      <w:pPr>
        <w:spacing w:before="0" w:after="120" w:line="240" w:lineRule="auto"/>
        <w:contextualSpacing/>
        <w:rPr>
          <w:rFonts w:cstheme="minorHAnsi"/>
          <w:sz w:val="20"/>
          <w:szCs w:val="20"/>
        </w:rPr>
      </w:pPr>
      <w:r w:rsidRPr="001460C9">
        <w:rPr>
          <w:rStyle w:val="FootnoteReference"/>
          <w:rFonts w:cstheme="minorHAnsi"/>
          <w:sz w:val="20"/>
          <w:szCs w:val="20"/>
        </w:rPr>
        <w:footnoteRef/>
      </w:r>
      <w:r w:rsidRPr="001460C9">
        <w:rPr>
          <w:rFonts w:cstheme="minorHAnsi"/>
          <w:sz w:val="20"/>
          <w:szCs w:val="20"/>
        </w:rPr>
        <w:t xml:space="preserve"> R Ranasinghe, E Chew, G Knight &amp; G Siekmann, 2019; ILO,</w:t>
      </w:r>
      <w:r w:rsidRPr="001460C9" w:rsidDel="00F84627">
        <w:rPr>
          <w:rFonts w:cstheme="minorHAnsi"/>
          <w:sz w:val="20"/>
          <w:szCs w:val="20"/>
        </w:rPr>
        <w:t xml:space="preserve"> </w:t>
      </w:r>
      <w:r w:rsidRPr="001460C9">
        <w:rPr>
          <w:rFonts w:cstheme="minorHAnsi"/>
          <w:sz w:val="20"/>
          <w:szCs w:val="20"/>
        </w:rPr>
        <w:t xml:space="preserve">2011; OECD, 2016 </w:t>
      </w:r>
    </w:p>
  </w:footnote>
  <w:footnote w:id="15">
    <w:p w14:paraId="5CAE5616" w14:textId="57713957" w:rsidR="008D37DE" w:rsidRPr="001460C9" w:rsidRDefault="008D37DE" w:rsidP="00856144">
      <w:pPr>
        <w:pStyle w:val="FootnoteText"/>
        <w:spacing w:after="120"/>
        <w:rPr>
          <w:rFonts w:cstheme="minorHAnsi"/>
          <w:lang w:val="en-US"/>
        </w:rPr>
      </w:pPr>
      <w:r w:rsidRPr="001460C9">
        <w:rPr>
          <w:rStyle w:val="FootnoteReference"/>
          <w:rFonts w:cstheme="minorHAnsi"/>
        </w:rPr>
        <w:footnoteRef/>
      </w:r>
      <w:r w:rsidRPr="001460C9">
        <w:rPr>
          <w:rFonts w:cstheme="minorHAnsi"/>
        </w:rPr>
        <w:t xml:space="preserve"> https://tickettowork.org.au/news/improving-school-transitions-get-australian-young-/</w:t>
      </w:r>
    </w:p>
  </w:footnote>
  <w:footnote w:id="16">
    <w:p w14:paraId="5D155CE4" w14:textId="3C5B7F0C" w:rsidR="0086013A" w:rsidRPr="001460C9" w:rsidRDefault="0086013A" w:rsidP="00856144">
      <w:pPr>
        <w:pStyle w:val="FootnoteText"/>
        <w:spacing w:after="120"/>
        <w:rPr>
          <w:rFonts w:cstheme="minorHAnsi"/>
          <w:lang w:val="en-US"/>
        </w:rPr>
      </w:pPr>
      <w:r w:rsidRPr="001460C9">
        <w:rPr>
          <w:rStyle w:val="FootnoteReference"/>
          <w:rFonts w:cstheme="minorHAnsi"/>
        </w:rPr>
        <w:footnoteRef/>
      </w:r>
      <w:r w:rsidRPr="001460C9">
        <w:rPr>
          <w:rFonts w:cstheme="minorHAnsi"/>
        </w:rPr>
        <w:t xml:space="preserve"> The 2020 Federal</w:t>
      </w:r>
      <w:r w:rsidR="00856144">
        <w:rPr>
          <w:rFonts w:cstheme="minorHAnsi"/>
        </w:rPr>
        <w:t xml:space="preserve"> (USA)</w:t>
      </w:r>
      <w:r w:rsidRPr="001460C9">
        <w:rPr>
          <w:rFonts w:cstheme="minorHAnsi"/>
        </w:rPr>
        <w:t xml:space="preserve"> Youth Transition Plan: A Federal Interagency Strategy</w:t>
      </w:r>
      <w:r w:rsidR="00856144" w:rsidRPr="00856144">
        <w:t xml:space="preserve"> </w:t>
      </w:r>
      <w:r w:rsidR="00856144" w:rsidRPr="00856144">
        <w:rPr>
          <w:rFonts w:cstheme="minorHAnsi"/>
        </w:rPr>
        <w:t>www.dol.gov/sites/dolgov/files/odep/pdf/20150302-fpt.pdf</w:t>
      </w:r>
    </w:p>
  </w:footnote>
  <w:footnote w:id="17">
    <w:p w14:paraId="403046C3" w14:textId="588C60E1" w:rsidR="001460C9" w:rsidRPr="001460C9" w:rsidRDefault="001460C9" w:rsidP="00856144">
      <w:pPr>
        <w:pStyle w:val="FootnoteText"/>
        <w:spacing w:after="120"/>
        <w:rPr>
          <w:rFonts w:cstheme="minorHAnsi"/>
          <w:lang w:val="en-US"/>
        </w:rPr>
      </w:pPr>
      <w:r w:rsidRPr="001460C9">
        <w:rPr>
          <w:rStyle w:val="FootnoteReference"/>
          <w:rFonts w:cstheme="minorHAnsi"/>
        </w:rPr>
        <w:footnoteRef/>
      </w:r>
      <w:r w:rsidRPr="001460C9">
        <w:rPr>
          <w:rFonts w:cstheme="minorHAnsi"/>
        </w:rPr>
        <w:t xml:space="preserve"> </w:t>
      </w:r>
      <w:hyperlink r:id="rId6" w:history="1">
        <w:r w:rsidRPr="001460C9">
          <w:rPr>
            <w:rStyle w:val="Hyperlink"/>
            <w:rFonts w:cstheme="minorHAnsi"/>
          </w:rPr>
          <w:t>https://www.cyda.org.au/resources/details/85/post-school-transition-the-experiences-of-students-with-disability</w:t>
        </w:r>
      </w:hyperlink>
    </w:p>
  </w:footnote>
  <w:footnote w:id="18">
    <w:p w14:paraId="04AC5A3F" w14:textId="153387D2" w:rsidR="008D37DE" w:rsidRPr="008D37DE" w:rsidRDefault="008D37DE">
      <w:pPr>
        <w:pStyle w:val="FootnoteText"/>
        <w:rPr>
          <w:lang w:val="en-US"/>
        </w:rPr>
      </w:pPr>
      <w:r>
        <w:rPr>
          <w:rStyle w:val="FootnoteReference"/>
        </w:rPr>
        <w:footnoteRef/>
      </w:r>
      <w:r>
        <w:t xml:space="preserve"> </w:t>
      </w:r>
      <w:r w:rsidRPr="008D37DE">
        <w:t>https://tickettowork.org.au/media/research_submissions_files/After-School-Jobs-Literature-Review_Final.pdf</w:t>
      </w:r>
    </w:p>
  </w:footnote>
  <w:footnote w:id="19">
    <w:p w14:paraId="4729ECCE" w14:textId="4E667322" w:rsidR="00856144" w:rsidRPr="00856144" w:rsidRDefault="00856144">
      <w:pPr>
        <w:pStyle w:val="FootnoteText"/>
        <w:rPr>
          <w:lang w:val="en-US"/>
        </w:rPr>
      </w:pPr>
      <w:r>
        <w:rPr>
          <w:rStyle w:val="FootnoteReference"/>
        </w:rPr>
        <w:footnoteRef/>
      </w:r>
      <w:r>
        <w:t xml:space="preserve"> UN Committee on the Rights of Persons with Disabilities, General Comment No. 4 (2016) Article 24: Right to inclusive education, 2 September 2016, CRPD/C/GC/4, available at: http://www.ohchr.org/EN/HRBodies/CRPD/Pages/GC.aspx</w:t>
      </w:r>
    </w:p>
  </w:footnote>
  <w:footnote w:id="20">
    <w:p w14:paraId="3ED1DD4A" w14:textId="77777777" w:rsidR="00D41369" w:rsidRPr="00856144" w:rsidRDefault="00D41369" w:rsidP="00D41369">
      <w:pPr>
        <w:pStyle w:val="FootnoteText"/>
        <w:rPr>
          <w:lang w:val="en-US"/>
        </w:rPr>
      </w:pPr>
      <w:r>
        <w:rPr>
          <w:rStyle w:val="FootnoteReference"/>
        </w:rPr>
        <w:footnoteRef/>
      </w:r>
      <w:r>
        <w:t xml:space="preserve"> Department of Social Services (DSS) (2016) National Disability Strategy Secondary implementation plan Driving Action 2015 – 2018 Australia</w:t>
      </w:r>
    </w:p>
  </w:footnote>
  <w:footnote w:id="21">
    <w:p w14:paraId="0F593B87" w14:textId="1641894B" w:rsidR="004C15C0" w:rsidRPr="004C15C0" w:rsidRDefault="004C15C0">
      <w:pPr>
        <w:pStyle w:val="FootnoteText"/>
        <w:rPr>
          <w:lang w:val="en-US"/>
        </w:rPr>
      </w:pPr>
      <w:r>
        <w:rPr>
          <w:rStyle w:val="FootnoteReference"/>
        </w:rPr>
        <w:footnoteRef/>
      </w:r>
      <w:r>
        <w:t xml:space="preserve"> Thiele, R., Bigby, C., Tideman, M. (2018). Young people with intellectual disabilities and work in after school jobs: a literature review. Living with Disability Research Centre, La Trobe University: Bundoora, VIC</w:t>
      </w:r>
    </w:p>
  </w:footnote>
  <w:footnote w:id="22">
    <w:p w14:paraId="59249670" w14:textId="77777777" w:rsidR="00F31918" w:rsidRPr="00B43C9E" w:rsidRDefault="00F31918" w:rsidP="00461C65">
      <w:pPr>
        <w:spacing w:before="0" w:after="120" w:line="240" w:lineRule="auto"/>
      </w:pPr>
      <w:r>
        <w:rPr>
          <w:rStyle w:val="FootnoteReference"/>
        </w:rPr>
        <w:footnoteRef/>
      </w:r>
      <w:r>
        <w:t xml:space="preserve"> </w:t>
      </w:r>
      <w:hyperlink r:id="rId7" w:history="1">
        <w:r>
          <w:rPr>
            <w:rStyle w:val="Hyperlink"/>
          </w:rPr>
          <w:t>FINAL_CYDA-submission-to-the-National-Disability-Employment-Strategy_May2021.pdf (dss.gov.au)</w:t>
        </w:r>
      </w:hyperlink>
    </w:p>
  </w:footnote>
  <w:footnote w:id="23">
    <w:p w14:paraId="6E840B05" w14:textId="7CAEF224" w:rsidR="00AD7557" w:rsidRPr="001576C3" w:rsidRDefault="00AD7557" w:rsidP="001576C3">
      <w:pPr>
        <w:spacing w:before="0" w:after="120" w:line="240" w:lineRule="auto"/>
        <w:rPr>
          <w:rFonts w:ascii="Arial" w:hAnsi="Arial" w:cs="Arial"/>
          <w:sz w:val="20"/>
          <w:szCs w:val="20"/>
        </w:rPr>
      </w:pPr>
      <w:r w:rsidRPr="00534889">
        <w:rPr>
          <w:rStyle w:val="FootnoteReference"/>
          <w:rFonts w:ascii="Arial" w:hAnsi="Arial" w:cs="Arial"/>
          <w:sz w:val="20"/>
          <w:szCs w:val="20"/>
        </w:rPr>
        <w:footnoteRef/>
      </w:r>
      <w:r w:rsidRPr="00534889">
        <w:rPr>
          <w:rFonts w:ascii="Arial" w:hAnsi="Arial" w:cs="Arial"/>
          <w:sz w:val="20"/>
          <w:szCs w:val="20"/>
        </w:rPr>
        <w:t xml:space="preserve"> Buchanan, J., Smith-Merry, J., Yen, I., Drinkwater, A., &amp; Smith, B. (2020). Disadvantage, disability and vocational education and training: A research report. Sydney: Centre for Disability Research and Policy. ISBN: 978-0-6487544-1-1</w:t>
      </w:r>
      <w:hyperlink r:id="rId8" w:history="1">
        <w:r w:rsidRPr="001576C3">
          <w:rPr>
            <w:rStyle w:val="Hyperlink"/>
            <w:rFonts w:ascii="Arial" w:hAnsi="Arial" w:cs="Arial"/>
            <w:sz w:val="20"/>
            <w:szCs w:val="20"/>
          </w:rPr>
          <w:t>EXP.0062.0001.0022.pdf (royalcommission.gov.au)</w:t>
        </w:r>
      </w:hyperlink>
      <w:r w:rsidRPr="001576C3">
        <w:rPr>
          <w:rFonts w:ascii="Arial" w:hAnsi="Arial" w:cs="Arial"/>
          <w:sz w:val="20"/>
          <w:szCs w:val="20"/>
        </w:rPr>
        <w:t>.</w:t>
      </w:r>
    </w:p>
  </w:footnote>
  <w:footnote w:id="24">
    <w:p w14:paraId="5F6A2449" w14:textId="77777777" w:rsidR="00890EE3" w:rsidRPr="00180315" w:rsidRDefault="00890EE3" w:rsidP="001576C3">
      <w:pPr>
        <w:spacing w:before="0" w:after="120" w:line="240" w:lineRule="auto"/>
        <w:rPr>
          <w:rFonts w:cstheme="minorHAnsi"/>
          <w:sz w:val="20"/>
          <w:szCs w:val="20"/>
        </w:rPr>
      </w:pPr>
      <w:r w:rsidRPr="00180315">
        <w:rPr>
          <w:rStyle w:val="FootnoteReference"/>
          <w:rFonts w:cstheme="minorHAnsi"/>
          <w:sz w:val="20"/>
          <w:szCs w:val="20"/>
        </w:rPr>
        <w:footnoteRef/>
      </w:r>
      <w:r w:rsidRPr="00180315">
        <w:rPr>
          <w:rFonts w:cstheme="minorHAnsi"/>
          <w:sz w:val="20"/>
          <w:szCs w:val="20"/>
        </w:rPr>
        <w:t xml:space="preserve"> Valuation of Ticket to Work outcomes: </w:t>
      </w:r>
      <w:hyperlink r:id="rId9" w:history="1">
        <w:r w:rsidRPr="00180315">
          <w:rPr>
            <w:rStyle w:val="Hyperlink"/>
            <w:rFonts w:cstheme="minorHAnsi"/>
            <w:sz w:val="20"/>
            <w:szCs w:val="20"/>
          </w:rPr>
          <w:t>tickettowork.org.au/media/download_resources/word/Ticket_to_Work_valuation_of_key_outcomes_2021_kZJsjSS.pdf</w:t>
        </w:r>
      </w:hyperlink>
    </w:p>
  </w:footnote>
  <w:footnote w:id="25">
    <w:p w14:paraId="05FEE3FB" w14:textId="77777777" w:rsidR="00890EE3" w:rsidRPr="00180315" w:rsidRDefault="00890EE3" w:rsidP="001576C3">
      <w:pPr>
        <w:pStyle w:val="FootnoteText"/>
        <w:spacing w:after="120"/>
        <w:rPr>
          <w:rFonts w:cstheme="minorHAnsi"/>
          <w:lang w:val="en-US"/>
        </w:rPr>
      </w:pPr>
      <w:r w:rsidRPr="00180315">
        <w:rPr>
          <w:rStyle w:val="FootnoteReference"/>
          <w:rFonts w:cstheme="minorHAnsi"/>
        </w:rPr>
        <w:footnoteRef/>
      </w:r>
      <w:r w:rsidRPr="00180315">
        <w:rPr>
          <w:rFonts w:cstheme="minorHAnsi"/>
        </w:rPr>
        <w:t>tickettowork.org.au/media/download_resources/word/7._Transitions_to_Employment_of_Australian_Young_People_with_Dis_HSiO079.pdf</w:t>
      </w:r>
    </w:p>
  </w:footnote>
  <w:footnote w:id="26">
    <w:p w14:paraId="1E7CD766" w14:textId="77777777" w:rsidR="00890EE3" w:rsidRPr="00180315" w:rsidRDefault="00890EE3" w:rsidP="001576C3">
      <w:pPr>
        <w:pStyle w:val="FootnoteText"/>
        <w:spacing w:after="120"/>
        <w:rPr>
          <w:rFonts w:cstheme="minorHAnsi"/>
        </w:rPr>
      </w:pPr>
      <w:r w:rsidRPr="00180315">
        <w:rPr>
          <w:rStyle w:val="FootnoteReference"/>
          <w:rFonts w:cstheme="minorHAnsi"/>
        </w:rPr>
        <w:footnoteRef/>
      </w:r>
      <w:r w:rsidRPr="00180315">
        <w:rPr>
          <w:rFonts w:cstheme="minorHAnsi"/>
        </w:rPr>
        <w:t xml:space="preserve"> Wilson, E. &amp; Campain, R. (2020). Fostering employment for people with intellectual disability: the evidence to date, Hawthorn, Centre for Social Impact, Swinburne University of Technology</w:t>
      </w:r>
    </w:p>
  </w:footnote>
  <w:footnote w:id="27">
    <w:p w14:paraId="366014E9" w14:textId="77777777" w:rsidR="00890EE3" w:rsidRPr="00180315" w:rsidRDefault="00890EE3" w:rsidP="001576C3">
      <w:pPr>
        <w:pStyle w:val="FootnoteText"/>
        <w:spacing w:after="120"/>
        <w:rPr>
          <w:rFonts w:cstheme="minorHAnsi"/>
          <w:lang w:val="en-US"/>
        </w:rPr>
      </w:pPr>
      <w:r w:rsidRPr="00180315">
        <w:rPr>
          <w:rStyle w:val="FootnoteReference"/>
          <w:rFonts w:cstheme="minorHAnsi"/>
        </w:rPr>
        <w:footnoteRef/>
      </w:r>
      <w:r w:rsidRPr="00180315">
        <w:rPr>
          <w:rFonts w:cstheme="minorHAnsi"/>
        </w:rPr>
        <w:t xml:space="preserve"> </w:t>
      </w:r>
      <w:r w:rsidRPr="00180315">
        <w:rPr>
          <w:rFonts w:cstheme="minorHAnsi"/>
          <w:lang w:val="en-US"/>
        </w:rPr>
        <w:t>Carter, Erik &amp; Austin, Diane &amp; Trainor, Audrey. (2012). Predictors of Postschool Employment Outcomes for Young Adults With Severe Disabilities. Journal of Disability Policy Studies. 23. 50-63. 10.1177/1044207311414680.</w:t>
      </w:r>
    </w:p>
  </w:footnote>
  <w:footnote w:id="28">
    <w:p w14:paraId="1F0EF29B" w14:textId="77777777" w:rsidR="00890EE3" w:rsidRPr="00180315" w:rsidRDefault="00890EE3" w:rsidP="001576C3">
      <w:pPr>
        <w:pStyle w:val="FootnoteText"/>
        <w:spacing w:after="120"/>
        <w:rPr>
          <w:rFonts w:cstheme="minorHAnsi"/>
        </w:rPr>
      </w:pPr>
      <w:r w:rsidRPr="00180315">
        <w:rPr>
          <w:rStyle w:val="FootnoteReference"/>
          <w:rFonts w:cstheme="minorHAnsi"/>
        </w:rPr>
        <w:footnoteRef/>
      </w:r>
      <w:r w:rsidRPr="00180315">
        <w:rPr>
          <w:rFonts w:cstheme="minorHAnsi"/>
        </w:rPr>
        <w:t xml:space="preserve"> Mazzotti, Valerie L.; Rowe, Dawn A.; Kwiatek, Stephen; Voggt, Ashley; Chang, Wen-Hsuan; Fowler, Catherine H.; et al. (2020): Secondary Transition Predictors of Postschool Success: An Update to the Research Base. SAGE Journals. Collection. https://doi.org/10.25384/SAGE.c.5171883</w:t>
      </w:r>
      <w:r w:rsidRPr="00180315">
        <w:rPr>
          <w:rFonts w:cstheme="minorHAnsi"/>
          <w:color w:val="252525"/>
          <w:shd w:val="clear" w:color="auto" w:fill="F8F8F8"/>
        </w:rPr>
        <w:t>.v1 </w:t>
      </w:r>
      <w:hyperlink r:id="rId10" w:history="1">
        <w:r w:rsidRPr="00180315">
          <w:rPr>
            <w:rStyle w:val="Hyperlink"/>
            <w:rFonts w:cstheme="minorHAnsi"/>
          </w:rPr>
          <w:t>https://transitionta.org/sites/default/files/news/Predictors_Mazzotti_2020_CDTEI.pdf</w:t>
        </w:r>
      </w:hyperlink>
    </w:p>
  </w:footnote>
  <w:footnote w:id="29">
    <w:p w14:paraId="1B7DF47C" w14:textId="77777777" w:rsidR="00890EE3" w:rsidRPr="00180315" w:rsidRDefault="00890EE3" w:rsidP="001576C3">
      <w:pPr>
        <w:pStyle w:val="FootnoteText"/>
        <w:spacing w:after="120"/>
        <w:rPr>
          <w:rFonts w:cstheme="minorHAnsi"/>
          <w:lang w:val="en-US"/>
        </w:rPr>
      </w:pPr>
      <w:r w:rsidRPr="00180315">
        <w:rPr>
          <w:rStyle w:val="FootnoteReference"/>
          <w:rFonts w:cstheme="minorHAnsi"/>
        </w:rPr>
        <w:footnoteRef/>
      </w:r>
      <w:r w:rsidRPr="00180315">
        <w:rPr>
          <w:rFonts w:cstheme="minorHAnsi"/>
        </w:rPr>
        <w:t xml:space="preserve"> Sheppard, L., Harrington, R. &amp; Howard, K. (2017). Effective school to employment transitions. Research to Action Guide, Rapid Review. NDS Centre for Applied Disability Research. Available at www.cadr.org.au</w:t>
      </w:r>
      <w:hyperlink r:id="rId11" w:history="1">
        <w:r w:rsidRPr="00180315">
          <w:rPr>
            <w:rStyle w:val="Hyperlink"/>
            <w:rFonts w:cstheme="minorHAnsi"/>
          </w:rPr>
          <w:t>https://tickettowork.org.au/media/download_resources/word/A_Rapid_Review.pdf</w:t>
        </w:r>
      </w:hyperlink>
    </w:p>
  </w:footnote>
  <w:footnote w:id="30">
    <w:p w14:paraId="09646A56" w14:textId="77777777" w:rsidR="00180315" w:rsidRPr="00180315" w:rsidRDefault="00180315" w:rsidP="00180315">
      <w:pPr>
        <w:pStyle w:val="FootnoteText"/>
        <w:spacing w:after="120"/>
        <w:rPr>
          <w:rFonts w:cstheme="minorHAnsi"/>
          <w:lang w:val="en-US"/>
        </w:rPr>
      </w:pPr>
      <w:r w:rsidRPr="00180315">
        <w:rPr>
          <w:rStyle w:val="FootnoteReference"/>
          <w:rFonts w:cstheme="minorHAnsi"/>
        </w:rPr>
        <w:footnoteRef/>
      </w:r>
      <w:r w:rsidRPr="00180315">
        <w:rPr>
          <w:rFonts w:cstheme="minorHAnsi"/>
        </w:rPr>
        <w:t xml:space="preserve"> www.tennesseeworks.org/getting-to-work/</w:t>
      </w:r>
    </w:p>
  </w:footnote>
  <w:footnote w:id="31">
    <w:p w14:paraId="4A147723" w14:textId="543C3786" w:rsidR="00856144" w:rsidRPr="00180315" w:rsidRDefault="00856144" w:rsidP="006E43BF">
      <w:pPr>
        <w:pStyle w:val="FootnoteText"/>
        <w:spacing w:after="120"/>
        <w:rPr>
          <w:rFonts w:cstheme="minorHAnsi"/>
          <w:lang w:val="en-US"/>
        </w:rPr>
      </w:pPr>
      <w:r w:rsidRPr="00180315">
        <w:rPr>
          <w:rStyle w:val="FootnoteReference"/>
          <w:rFonts w:cstheme="minorHAnsi"/>
        </w:rPr>
        <w:footnoteRef/>
      </w:r>
      <w:r w:rsidRPr="00180315">
        <w:rPr>
          <w:rFonts w:cstheme="minorHAnsi"/>
        </w:rPr>
        <w:t xml:space="preserve"> </w:t>
      </w:r>
      <w:r w:rsidRPr="00180315">
        <w:rPr>
          <w:rFonts w:eastAsia="Calibri" w:cstheme="minorHAnsi"/>
        </w:rPr>
        <w:t xml:space="preserve">Winn, S., &amp; Hay, I. (2009). Transition from School for Youths with a Disability: Issues and Challenges. </w:t>
      </w:r>
      <w:r w:rsidRPr="00180315">
        <w:rPr>
          <w:rFonts w:eastAsia="Calibri" w:cstheme="minorHAnsi"/>
          <w:i/>
        </w:rPr>
        <w:t>Disability &amp; Society, 24</w:t>
      </w:r>
      <w:r w:rsidRPr="00180315">
        <w:rPr>
          <w:rFonts w:eastAsia="Calibri" w:cstheme="minorHAnsi"/>
        </w:rPr>
        <w:t>(1), 103-115.</w:t>
      </w:r>
    </w:p>
  </w:footnote>
  <w:footnote w:id="32">
    <w:p w14:paraId="6A78F2DC" w14:textId="4A01A231" w:rsidR="00856144" w:rsidRPr="00180315" w:rsidRDefault="00856144" w:rsidP="006E43BF">
      <w:pPr>
        <w:pStyle w:val="EndnoteText"/>
        <w:spacing w:after="120"/>
        <w:rPr>
          <w:rFonts w:asciiTheme="minorHAnsi" w:hAnsiTheme="minorHAnsi" w:cstheme="minorHAnsi"/>
        </w:rPr>
      </w:pPr>
      <w:r w:rsidRPr="00180315">
        <w:rPr>
          <w:rStyle w:val="FootnoteReference"/>
          <w:rFonts w:asciiTheme="minorHAnsi" w:hAnsiTheme="minorHAnsi" w:cstheme="minorHAnsi"/>
        </w:rPr>
        <w:footnoteRef/>
      </w:r>
      <w:r w:rsidRPr="00180315">
        <w:rPr>
          <w:rFonts w:asciiTheme="minorHAnsi" w:hAnsiTheme="minorHAnsi" w:cstheme="minorHAnsi"/>
        </w:rPr>
        <w:t xml:space="preserve"> Sitlington, P. L., &amp; Clark, G. M. (2006). Transition education and services for students with disabilities (4th ed.). Boston: Allyn &amp; Bacon. </w:t>
      </w:r>
    </w:p>
  </w:footnote>
  <w:footnote w:id="33">
    <w:p w14:paraId="7E11188D" w14:textId="4F11E676" w:rsidR="006E43BF" w:rsidRPr="00180315" w:rsidRDefault="006E43BF" w:rsidP="006E43BF">
      <w:pPr>
        <w:pStyle w:val="EndnoteText"/>
        <w:spacing w:after="120"/>
        <w:rPr>
          <w:rFonts w:asciiTheme="minorHAnsi" w:eastAsia="Calibri" w:hAnsiTheme="minorHAnsi" w:cstheme="minorHAnsi"/>
        </w:rPr>
      </w:pPr>
      <w:r w:rsidRPr="00180315">
        <w:rPr>
          <w:rStyle w:val="FootnoteReference"/>
          <w:rFonts w:asciiTheme="minorHAnsi" w:hAnsiTheme="minorHAnsi" w:cstheme="minorHAnsi"/>
        </w:rPr>
        <w:footnoteRef/>
      </w:r>
      <w:r w:rsidRPr="00180315">
        <w:rPr>
          <w:rFonts w:asciiTheme="minorHAnsi" w:hAnsiTheme="minorHAnsi" w:cstheme="minorHAnsi"/>
        </w:rPr>
        <w:t xml:space="preserve"> </w:t>
      </w:r>
      <w:r w:rsidRPr="00180315">
        <w:rPr>
          <w:rFonts w:asciiTheme="minorHAnsi" w:eastAsia="Calibri" w:hAnsiTheme="minorHAnsi" w:cstheme="minorHAnsi"/>
        </w:rPr>
        <w:t xml:space="preserve">Winn, S., &amp; Hay, I. (2009). Transition from School for Youths with a Disability: Issues and Challenges. </w:t>
      </w:r>
      <w:r w:rsidRPr="00180315">
        <w:rPr>
          <w:rFonts w:asciiTheme="minorHAnsi" w:eastAsia="Calibri" w:hAnsiTheme="minorHAnsi" w:cstheme="minorHAnsi"/>
          <w:i/>
        </w:rPr>
        <w:t>Disability &amp; Society, 24</w:t>
      </w:r>
      <w:r w:rsidRPr="00180315">
        <w:rPr>
          <w:rFonts w:asciiTheme="minorHAnsi" w:eastAsia="Calibri" w:hAnsiTheme="minorHAnsi" w:cstheme="minorHAnsi"/>
        </w:rPr>
        <w:t>(1), 103-115. doi:10.1080/09687590802535725</w:t>
      </w:r>
    </w:p>
  </w:footnote>
  <w:footnote w:id="34">
    <w:p w14:paraId="329F1135" w14:textId="7CC31128" w:rsidR="006E43BF" w:rsidRPr="006E43BF" w:rsidRDefault="006E43BF" w:rsidP="006E43BF">
      <w:pPr>
        <w:pStyle w:val="FootnoteText"/>
        <w:spacing w:after="120"/>
        <w:rPr>
          <w:rFonts w:cstheme="minorHAnsi"/>
        </w:rPr>
      </w:pPr>
      <w:r w:rsidRPr="006E43BF">
        <w:rPr>
          <w:rStyle w:val="FootnoteReference"/>
          <w:rFonts w:cstheme="minorHAnsi"/>
        </w:rPr>
        <w:footnoteRef/>
      </w:r>
      <w:r w:rsidRPr="006E43BF">
        <w:rPr>
          <w:rFonts w:cstheme="minorHAnsi"/>
        </w:rPr>
        <w:t xml:space="preserve"> National Governors’ Association Center for Best Practice. (2004). Early lessons from states to promote youth development’. Washington, DC.</w:t>
      </w:r>
    </w:p>
  </w:footnote>
  <w:footnote w:id="35">
    <w:p w14:paraId="62B78297" w14:textId="7230B335" w:rsidR="00F31918" w:rsidRPr="00CC5485" w:rsidRDefault="00F31918" w:rsidP="00CC5485">
      <w:pPr>
        <w:spacing w:before="0" w:after="120" w:line="240" w:lineRule="auto"/>
        <w:rPr>
          <w:rFonts w:cstheme="minorHAnsi"/>
          <w:sz w:val="20"/>
          <w:szCs w:val="20"/>
          <w:lang w:val="en-US"/>
        </w:rPr>
      </w:pPr>
      <w:r w:rsidRPr="00CC5485">
        <w:rPr>
          <w:rStyle w:val="FootnoteReference"/>
          <w:rFonts w:cstheme="minorHAnsi"/>
          <w:sz w:val="20"/>
          <w:szCs w:val="20"/>
        </w:rPr>
        <w:footnoteRef/>
      </w:r>
      <w:r w:rsidRPr="00CC5485">
        <w:rPr>
          <w:rFonts w:cstheme="minorHAnsi"/>
          <w:sz w:val="20"/>
          <w:szCs w:val="20"/>
        </w:rPr>
        <w:t xml:space="preserve"> </w:t>
      </w:r>
      <w:r w:rsidR="00CC5485" w:rsidRPr="00CC5485">
        <w:rPr>
          <w:rFonts w:cstheme="minorHAnsi"/>
          <w:sz w:val="20"/>
          <w:szCs w:val="20"/>
        </w:rPr>
        <w:t xml:space="preserve">Olney S, Deane K &amp; Bonyhady B (2021) </w:t>
      </w:r>
      <w:r w:rsidR="00CC5485" w:rsidRPr="00CC5485">
        <w:rPr>
          <w:rFonts w:cstheme="minorHAnsi"/>
          <w:i/>
          <w:iCs/>
          <w:sz w:val="20"/>
          <w:szCs w:val="20"/>
        </w:rPr>
        <w:t>Melbourne Disability Institute</w:t>
      </w:r>
      <w:r w:rsidR="00CC5485" w:rsidRPr="00CC5485">
        <w:rPr>
          <w:rFonts w:cstheme="minorHAnsi"/>
          <w:sz w:val="20"/>
          <w:szCs w:val="20"/>
        </w:rPr>
        <w:t xml:space="preserve"> </w:t>
      </w:r>
      <w:r w:rsidR="00CC5485" w:rsidRPr="00CC5485">
        <w:rPr>
          <w:rFonts w:cstheme="minorHAnsi"/>
          <w:i/>
          <w:iCs/>
          <w:sz w:val="20"/>
          <w:szCs w:val="20"/>
        </w:rPr>
        <w:t>Response to the National Disability Employment Strategy Consultation paper April 2021</w:t>
      </w:r>
      <w:r w:rsidR="00CC5485" w:rsidRPr="00CC5485">
        <w:rPr>
          <w:rFonts w:cstheme="minorHAnsi"/>
          <w:sz w:val="20"/>
          <w:szCs w:val="20"/>
        </w:rPr>
        <w:t xml:space="preserve"> Melbourne Disability Institute, University of Melbourne</w:t>
      </w:r>
      <w:r w:rsidR="00CC5485">
        <w:rPr>
          <w:rFonts w:cstheme="minorHAnsi"/>
          <w:sz w:val="20"/>
          <w:szCs w:val="20"/>
        </w:rPr>
        <w:t xml:space="preserve"> </w:t>
      </w:r>
      <w:r w:rsidRPr="00CC5485">
        <w:rPr>
          <w:rFonts w:cstheme="minorHAnsi"/>
          <w:sz w:val="20"/>
          <w:szCs w:val="20"/>
        </w:rPr>
        <w:t>engage.dss.gov.au/uncategorised-submissions/1620978005/</w:t>
      </w:r>
    </w:p>
  </w:footnote>
  <w:footnote w:id="36">
    <w:p w14:paraId="1CE438D9" w14:textId="0008844E" w:rsidR="006E43BF" w:rsidRPr="006E43BF" w:rsidRDefault="006E43BF">
      <w:pPr>
        <w:pStyle w:val="FootnoteText"/>
        <w:rPr>
          <w:lang w:val="en-US"/>
        </w:rPr>
      </w:pPr>
      <w:r>
        <w:rPr>
          <w:rStyle w:val="FootnoteReference"/>
        </w:rPr>
        <w:footnoteRef/>
      </w:r>
      <w:r w:rsidRPr="006E43BF">
        <w:rPr>
          <w:rFonts w:ascii="Arial" w:hAnsi="Arial" w:cs="Arial"/>
        </w:rPr>
        <w:t>tickettowork.org.au/media/download_resources/word/Ticket_to_Work_valuation_of_key_outcomes_2021_kZJsjSS.pdf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3CE93" w14:textId="1997B081" w:rsidR="00EE6C0A" w:rsidRDefault="00EE6C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FDBDE" w14:textId="6B5B1183" w:rsidR="00820E6E" w:rsidRDefault="00820E6E" w:rsidP="00820E6E">
    <w:pPr>
      <w:pStyle w:val="Header"/>
      <w:rPr>
        <w:color w:val="auto"/>
        <w:spacing w:val="0"/>
      </w:rPr>
    </w:pPr>
    <w:r>
      <w:rPr>
        <w:noProof/>
        <w:color w:val="000000"/>
        <w:w w:val="1"/>
        <w:sz w:val="2"/>
        <w:szCs w:val="2"/>
        <w:bdr w:val="none" w:sz="0" w:space="0" w:color="auto" w:frame="1"/>
        <w:shd w:val="clear" w:color="auto" w:fill="000000"/>
        <w:lang w:val="en-US"/>
      </w:rPr>
      <w:drawing>
        <wp:inline distT="0" distB="0" distL="0" distR="0" wp14:anchorId="179996D6" wp14:editId="318B8899">
          <wp:extent cx="1155700" cy="857250"/>
          <wp:effectExtent l="0" t="0" r="6350" b="0"/>
          <wp:docPr id="5" name="Picture 5" descr="ticket to work logo www.tickettowork.org.au" title="ticket to work logo "/>
          <wp:cNvGraphicFramePr/>
          <a:graphic xmlns:a="http://schemas.openxmlformats.org/drawingml/2006/main">
            <a:graphicData uri="http://schemas.openxmlformats.org/drawingml/2006/picture">
              <pic:pic xmlns:pic="http://schemas.openxmlformats.org/drawingml/2006/picture">
                <pic:nvPicPr>
                  <pic:cNvPr id="5" name="Picture 5" descr="ticket to work logo www.tickettowork.org.au" title="ticket to work logo "/>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119" cy="854594"/>
                  </a:xfrm>
                  <a:prstGeom prst="rect">
                    <a:avLst/>
                  </a:prstGeom>
                  <a:noFill/>
                  <a:ln>
                    <a:noFill/>
                  </a:ln>
                </pic:spPr>
              </pic:pic>
            </a:graphicData>
          </a:graphic>
        </wp:inline>
      </w:drawing>
    </w:r>
    <w:r>
      <w:rPr>
        <w:noProof/>
      </w:rPr>
      <w:tab/>
    </w:r>
    <w:r>
      <w:rPr>
        <w:noProof/>
      </w:rPr>
      <w:tab/>
    </w:r>
    <w:r>
      <w:rPr>
        <w:noProof/>
        <w:lang w:val="en-US"/>
      </w:rPr>
      <w:drawing>
        <wp:inline distT="0" distB="0" distL="0" distR="0" wp14:anchorId="7A3C5FB0" wp14:editId="1C668245">
          <wp:extent cx="1695450" cy="450850"/>
          <wp:effectExtent l="0" t="0" r="0" b="6350"/>
          <wp:docPr id="4" name="Picture 4" descr="National Disability Services logo www.nds.org.au" title="National Disability Services logo "/>
          <wp:cNvGraphicFramePr/>
          <a:graphic xmlns:a="http://schemas.openxmlformats.org/drawingml/2006/main">
            <a:graphicData uri="http://schemas.openxmlformats.org/drawingml/2006/picture">
              <pic:pic xmlns:pic="http://schemas.openxmlformats.org/drawingml/2006/picture">
                <pic:nvPicPr>
                  <pic:cNvPr id="2" name="Picture 2" descr="National Disability Services logo www.nds.org.au" title="National Disability Services logo "/>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2275" cy="450215"/>
                  </a:xfrm>
                  <a:prstGeom prst="rect">
                    <a:avLst/>
                  </a:prstGeom>
                  <a:noFill/>
                  <a:ln>
                    <a:noFill/>
                  </a:ln>
                </pic:spPr>
              </pic:pic>
            </a:graphicData>
          </a:graphic>
        </wp:inline>
      </w:drawing>
    </w:r>
    <w:r>
      <w:rPr>
        <w:snapToGrid w:val="0"/>
        <w:color w:val="000000"/>
        <w:w w:val="1"/>
        <w:sz w:val="2"/>
        <w:szCs w:val="2"/>
        <w:bdr w:val="none" w:sz="0" w:space="0" w:color="auto" w:frame="1"/>
        <w:shd w:val="clear" w:color="auto" w:fill="000000"/>
        <w:lang w:val="x-none" w:eastAsia="x-none" w:bidi="x-none"/>
      </w:rPr>
      <w:t xml:space="preserve"> </w:t>
    </w:r>
  </w:p>
  <w:p w14:paraId="0C6ADC07" w14:textId="12709622" w:rsidR="00820E6E" w:rsidRDefault="00820E6E">
    <w:pPr>
      <w:pStyle w:val="Header"/>
    </w:pPr>
  </w:p>
  <w:p w14:paraId="1FDA7699" w14:textId="77777777" w:rsidR="00820E6E" w:rsidRDefault="00820E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A9816" w14:textId="0BA02427" w:rsidR="00EE6C0A" w:rsidRDefault="00EE6C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378C"/>
    <w:multiLevelType w:val="hybridMultilevel"/>
    <w:tmpl w:val="621E8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874C91"/>
    <w:multiLevelType w:val="hybridMultilevel"/>
    <w:tmpl w:val="131458E2"/>
    <w:lvl w:ilvl="0" w:tplc="FB4C3F5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1C1227"/>
    <w:multiLevelType w:val="multilevel"/>
    <w:tmpl w:val="0C207A9A"/>
    <w:styleLink w:val="Bullets"/>
    <w:lvl w:ilvl="0">
      <w:start w:val="1"/>
      <w:numFmt w:val="bullet"/>
      <w:pStyle w:val="ListBullet"/>
      <w:lvlText w:val=""/>
      <w:lvlJc w:val="left"/>
      <w:pPr>
        <w:tabs>
          <w:tab w:val="num" w:pos="454"/>
        </w:tabs>
        <w:ind w:left="454" w:hanging="454"/>
      </w:pPr>
      <w:rPr>
        <w:rFonts w:ascii="Wingdings" w:hAnsi="Wingdings" w:hint="default"/>
      </w:rPr>
    </w:lvl>
    <w:lvl w:ilvl="1">
      <w:start w:val="1"/>
      <w:numFmt w:val="bullet"/>
      <w:pStyle w:val="Listdashlevel2"/>
      <w:lvlText w:val="–"/>
      <w:lvlJc w:val="left"/>
      <w:pPr>
        <w:tabs>
          <w:tab w:val="num" w:pos="907"/>
        </w:tabs>
        <w:ind w:left="907" w:hanging="453"/>
      </w:pPr>
      <w:rPr>
        <w:rFonts w:ascii="Arial" w:hAnsi="Arial" w:cs="Times New Roman" w:hint="default"/>
      </w:rPr>
    </w:lvl>
    <w:lvl w:ilvl="2">
      <w:start w:val="1"/>
      <w:numFmt w:val="none"/>
      <w:lvlText w:val=""/>
      <w:lvlJc w:val="left"/>
      <w:pPr>
        <w:tabs>
          <w:tab w:val="num" w:pos="794"/>
        </w:tabs>
        <w:ind w:left="907" w:hanging="453"/>
      </w:pPr>
    </w:lvl>
    <w:lvl w:ilvl="3">
      <w:start w:val="1"/>
      <w:numFmt w:val="none"/>
      <w:lvlText w:val=""/>
      <w:lvlJc w:val="left"/>
      <w:pPr>
        <w:tabs>
          <w:tab w:val="num" w:pos="454"/>
        </w:tabs>
        <w:ind w:left="454" w:hanging="454"/>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abstractNum w:abstractNumId="3" w15:restartNumberingAfterBreak="0">
    <w:nsid w:val="15B62875"/>
    <w:multiLevelType w:val="hybridMultilevel"/>
    <w:tmpl w:val="00389E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09719A"/>
    <w:multiLevelType w:val="hybridMultilevel"/>
    <w:tmpl w:val="C63EECA2"/>
    <w:lvl w:ilvl="0" w:tplc="A8E8637E">
      <w:start w:val="1"/>
      <w:numFmt w:val="bullet"/>
      <w:lvlText w:val="•"/>
      <w:lvlJc w:val="left"/>
      <w:pPr>
        <w:tabs>
          <w:tab w:val="num" w:pos="720"/>
        </w:tabs>
        <w:ind w:left="720" w:hanging="360"/>
      </w:pPr>
      <w:rPr>
        <w:rFonts w:ascii="Arial" w:hAnsi="Arial" w:hint="default"/>
      </w:rPr>
    </w:lvl>
    <w:lvl w:ilvl="1" w:tplc="71DEC25E" w:tentative="1">
      <w:start w:val="1"/>
      <w:numFmt w:val="bullet"/>
      <w:lvlText w:val="•"/>
      <w:lvlJc w:val="left"/>
      <w:pPr>
        <w:tabs>
          <w:tab w:val="num" w:pos="1440"/>
        </w:tabs>
        <w:ind w:left="1440" w:hanging="360"/>
      </w:pPr>
      <w:rPr>
        <w:rFonts w:ascii="Arial" w:hAnsi="Arial" w:hint="default"/>
      </w:rPr>
    </w:lvl>
    <w:lvl w:ilvl="2" w:tplc="2C7A9AAA" w:tentative="1">
      <w:start w:val="1"/>
      <w:numFmt w:val="bullet"/>
      <w:lvlText w:val="•"/>
      <w:lvlJc w:val="left"/>
      <w:pPr>
        <w:tabs>
          <w:tab w:val="num" w:pos="2160"/>
        </w:tabs>
        <w:ind w:left="2160" w:hanging="360"/>
      </w:pPr>
      <w:rPr>
        <w:rFonts w:ascii="Arial" w:hAnsi="Arial" w:hint="default"/>
      </w:rPr>
    </w:lvl>
    <w:lvl w:ilvl="3" w:tplc="F74CC868" w:tentative="1">
      <w:start w:val="1"/>
      <w:numFmt w:val="bullet"/>
      <w:lvlText w:val="•"/>
      <w:lvlJc w:val="left"/>
      <w:pPr>
        <w:tabs>
          <w:tab w:val="num" w:pos="2880"/>
        </w:tabs>
        <w:ind w:left="2880" w:hanging="360"/>
      </w:pPr>
      <w:rPr>
        <w:rFonts w:ascii="Arial" w:hAnsi="Arial" w:hint="default"/>
      </w:rPr>
    </w:lvl>
    <w:lvl w:ilvl="4" w:tplc="CC22BFDA" w:tentative="1">
      <w:start w:val="1"/>
      <w:numFmt w:val="bullet"/>
      <w:lvlText w:val="•"/>
      <w:lvlJc w:val="left"/>
      <w:pPr>
        <w:tabs>
          <w:tab w:val="num" w:pos="3600"/>
        </w:tabs>
        <w:ind w:left="3600" w:hanging="360"/>
      </w:pPr>
      <w:rPr>
        <w:rFonts w:ascii="Arial" w:hAnsi="Arial" w:hint="default"/>
      </w:rPr>
    </w:lvl>
    <w:lvl w:ilvl="5" w:tplc="9894D468" w:tentative="1">
      <w:start w:val="1"/>
      <w:numFmt w:val="bullet"/>
      <w:lvlText w:val="•"/>
      <w:lvlJc w:val="left"/>
      <w:pPr>
        <w:tabs>
          <w:tab w:val="num" w:pos="4320"/>
        </w:tabs>
        <w:ind w:left="4320" w:hanging="360"/>
      </w:pPr>
      <w:rPr>
        <w:rFonts w:ascii="Arial" w:hAnsi="Arial" w:hint="default"/>
      </w:rPr>
    </w:lvl>
    <w:lvl w:ilvl="6" w:tplc="33E09826" w:tentative="1">
      <w:start w:val="1"/>
      <w:numFmt w:val="bullet"/>
      <w:lvlText w:val="•"/>
      <w:lvlJc w:val="left"/>
      <w:pPr>
        <w:tabs>
          <w:tab w:val="num" w:pos="5040"/>
        </w:tabs>
        <w:ind w:left="5040" w:hanging="360"/>
      </w:pPr>
      <w:rPr>
        <w:rFonts w:ascii="Arial" w:hAnsi="Arial" w:hint="default"/>
      </w:rPr>
    </w:lvl>
    <w:lvl w:ilvl="7" w:tplc="54F47D44" w:tentative="1">
      <w:start w:val="1"/>
      <w:numFmt w:val="bullet"/>
      <w:lvlText w:val="•"/>
      <w:lvlJc w:val="left"/>
      <w:pPr>
        <w:tabs>
          <w:tab w:val="num" w:pos="5760"/>
        </w:tabs>
        <w:ind w:left="5760" w:hanging="360"/>
      </w:pPr>
      <w:rPr>
        <w:rFonts w:ascii="Arial" w:hAnsi="Arial" w:hint="default"/>
      </w:rPr>
    </w:lvl>
    <w:lvl w:ilvl="8" w:tplc="406C00D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EAA07E0"/>
    <w:multiLevelType w:val="multilevel"/>
    <w:tmpl w:val="8E2E1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BC3E68"/>
    <w:multiLevelType w:val="hybridMultilevel"/>
    <w:tmpl w:val="B72ED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56231F"/>
    <w:multiLevelType w:val="multilevel"/>
    <w:tmpl w:val="176A9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3850A8"/>
    <w:multiLevelType w:val="hybridMultilevel"/>
    <w:tmpl w:val="F6CE04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A26B34"/>
    <w:multiLevelType w:val="hybridMultilevel"/>
    <w:tmpl w:val="570E4ADA"/>
    <w:lvl w:ilvl="0" w:tplc="198A2D9C">
      <w:start w:val="1"/>
      <w:numFmt w:val="bullet"/>
      <w:pStyle w:val="Bulletlis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E33C2F"/>
    <w:multiLevelType w:val="hybridMultilevel"/>
    <w:tmpl w:val="FB00E6AA"/>
    <w:lvl w:ilvl="0" w:tplc="0C09000F">
      <w:start w:val="1"/>
      <w:numFmt w:val="decimal"/>
      <w:lvlText w:val="%1."/>
      <w:lvlJc w:val="left"/>
      <w:pPr>
        <w:ind w:left="720" w:hanging="360"/>
      </w:pPr>
      <w:rPr>
        <w:rFonts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680795"/>
    <w:multiLevelType w:val="hybridMultilevel"/>
    <w:tmpl w:val="3C9800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AC424A7"/>
    <w:multiLevelType w:val="hybridMultilevel"/>
    <w:tmpl w:val="B680D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6CB1C1A"/>
    <w:multiLevelType w:val="multilevel"/>
    <w:tmpl w:val="128CF8AC"/>
    <w:lvl w:ilvl="0">
      <w:start w:val="1"/>
      <w:numFmt w:val="bullet"/>
      <w:lvlText w:val=""/>
      <w:lvlJc w:val="left"/>
      <w:pPr>
        <w:tabs>
          <w:tab w:val="num" w:pos="454"/>
        </w:tabs>
        <w:ind w:left="454" w:hanging="454"/>
      </w:pPr>
      <w:rPr>
        <w:rFonts w:ascii="Wingdings" w:hAnsi="Wingdings" w:hint="default"/>
      </w:rPr>
    </w:lvl>
    <w:lvl w:ilvl="1">
      <w:start w:val="1"/>
      <w:numFmt w:val="bullet"/>
      <w:lvlText w:val=""/>
      <w:lvlJc w:val="left"/>
      <w:pPr>
        <w:tabs>
          <w:tab w:val="num" w:pos="907"/>
        </w:tabs>
        <w:ind w:left="648" w:hanging="648"/>
      </w:pPr>
      <w:rPr>
        <w:rFonts w:ascii="Symbol" w:hAnsi="Symbol" w:hint="default"/>
      </w:rPr>
    </w:lvl>
    <w:lvl w:ilvl="2">
      <w:start w:val="1"/>
      <w:numFmt w:val="none"/>
      <w:lvlText w:val=""/>
      <w:lvlJc w:val="left"/>
      <w:pPr>
        <w:tabs>
          <w:tab w:val="num" w:pos="794"/>
        </w:tabs>
        <w:ind w:left="907" w:hanging="453"/>
      </w:pPr>
    </w:lvl>
    <w:lvl w:ilvl="3">
      <w:start w:val="1"/>
      <w:numFmt w:val="none"/>
      <w:lvlText w:val=""/>
      <w:lvlJc w:val="left"/>
      <w:pPr>
        <w:tabs>
          <w:tab w:val="num" w:pos="454"/>
        </w:tabs>
        <w:ind w:left="454" w:hanging="454"/>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abstractNum w:abstractNumId="14" w15:restartNumberingAfterBreak="0">
    <w:nsid w:val="47AE349A"/>
    <w:multiLevelType w:val="hybridMultilevel"/>
    <w:tmpl w:val="46188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A2D52D0"/>
    <w:multiLevelType w:val="hybridMultilevel"/>
    <w:tmpl w:val="8E3E64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1143981"/>
    <w:multiLevelType w:val="hybridMultilevel"/>
    <w:tmpl w:val="4DFE678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59612DC9"/>
    <w:multiLevelType w:val="hybridMultilevel"/>
    <w:tmpl w:val="47AE35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164158B"/>
    <w:multiLevelType w:val="multilevel"/>
    <w:tmpl w:val="7D06B0B6"/>
    <w:lvl w:ilvl="0">
      <w:start w:val="1"/>
      <w:numFmt w:val="bullet"/>
      <w:lvlText w:val=""/>
      <w:lvlJc w:val="left"/>
      <w:pPr>
        <w:tabs>
          <w:tab w:val="num" w:pos="454"/>
        </w:tabs>
        <w:ind w:left="454" w:hanging="454"/>
      </w:pPr>
      <w:rPr>
        <w:rFonts w:ascii="Wingdings" w:hAnsi="Wingdings" w:hint="default"/>
      </w:rPr>
    </w:lvl>
    <w:lvl w:ilvl="1">
      <w:start w:val="1"/>
      <w:numFmt w:val="bullet"/>
      <w:lvlText w:val=""/>
      <w:lvlJc w:val="left"/>
      <w:pPr>
        <w:tabs>
          <w:tab w:val="num" w:pos="907"/>
        </w:tabs>
        <w:ind w:left="576" w:hanging="576"/>
      </w:pPr>
      <w:rPr>
        <w:rFonts w:ascii="Symbol" w:hAnsi="Symbol" w:hint="default"/>
      </w:rPr>
    </w:lvl>
    <w:lvl w:ilvl="2">
      <w:start w:val="1"/>
      <w:numFmt w:val="none"/>
      <w:lvlText w:val=""/>
      <w:lvlJc w:val="left"/>
      <w:pPr>
        <w:tabs>
          <w:tab w:val="num" w:pos="794"/>
        </w:tabs>
        <w:ind w:left="907" w:hanging="453"/>
      </w:pPr>
    </w:lvl>
    <w:lvl w:ilvl="3">
      <w:start w:val="1"/>
      <w:numFmt w:val="none"/>
      <w:lvlText w:val=""/>
      <w:lvlJc w:val="left"/>
      <w:pPr>
        <w:tabs>
          <w:tab w:val="num" w:pos="454"/>
        </w:tabs>
        <w:ind w:left="454" w:hanging="454"/>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abstractNum w:abstractNumId="19" w15:restartNumberingAfterBreak="0">
    <w:nsid w:val="628F623C"/>
    <w:multiLevelType w:val="hybridMultilevel"/>
    <w:tmpl w:val="2D0EC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5181EBA"/>
    <w:multiLevelType w:val="hybridMultilevel"/>
    <w:tmpl w:val="E6BEA0FC"/>
    <w:lvl w:ilvl="0" w:tplc="F0A6BD84">
      <w:start w:val="1"/>
      <w:numFmt w:val="bullet"/>
      <w:lvlText w:val=""/>
      <w:lvlJc w:val="left"/>
      <w:pPr>
        <w:ind w:left="1174" w:hanging="360"/>
      </w:pPr>
      <w:rPr>
        <w:rFonts w:ascii="Symbol" w:hAnsi="Symbol" w:hint="default"/>
      </w:rPr>
    </w:lvl>
    <w:lvl w:ilvl="1" w:tplc="0C090003">
      <w:start w:val="1"/>
      <w:numFmt w:val="bullet"/>
      <w:lvlText w:val="o"/>
      <w:lvlJc w:val="left"/>
      <w:pPr>
        <w:ind w:left="1894" w:hanging="360"/>
      </w:pPr>
      <w:rPr>
        <w:rFonts w:ascii="Courier New" w:hAnsi="Courier New" w:cs="Courier New" w:hint="default"/>
      </w:rPr>
    </w:lvl>
    <w:lvl w:ilvl="2" w:tplc="0C090005">
      <w:start w:val="1"/>
      <w:numFmt w:val="bullet"/>
      <w:lvlText w:val=""/>
      <w:lvlJc w:val="left"/>
      <w:pPr>
        <w:ind w:left="2614" w:hanging="360"/>
      </w:pPr>
      <w:rPr>
        <w:rFonts w:ascii="Wingdings" w:hAnsi="Wingdings" w:hint="default"/>
      </w:rPr>
    </w:lvl>
    <w:lvl w:ilvl="3" w:tplc="0C090001">
      <w:start w:val="1"/>
      <w:numFmt w:val="bullet"/>
      <w:lvlText w:val=""/>
      <w:lvlJc w:val="left"/>
      <w:pPr>
        <w:ind w:left="3334" w:hanging="360"/>
      </w:pPr>
      <w:rPr>
        <w:rFonts w:ascii="Symbol" w:hAnsi="Symbol" w:hint="default"/>
      </w:rPr>
    </w:lvl>
    <w:lvl w:ilvl="4" w:tplc="0C090003">
      <w:start w:val="1"/>
      <w:numFmt w:val="bullet"/>
      <w:lvlText w:val="o"/>
      <w:lvlJc w:val="left"/>
      <w:pPr>
        <w:ind w:left="4054" w:hanging="360"/>
      </w:pPr>
      <w:rPr>
        <w:rFonts w:ascii="Courier New" w:hAnsi="Courier New" w:cs="Courier New" w:hint="default"/>
      </w:rPr>
    </w:lvl>
    <w:lvl w:ilvl="5" w:tplc="0C090005">
      <w:start w:val="1"/>
      <w:numFmt w:val="bullet"/>
      <w:lvlText w:val=""/>
      <w:lvlJc w:val="left"/>
      <w:pPr>
        <w:ind w:left="4774" w:hanging="360"/>
      </w:pPr>
      <w:rPr>
        <w:rFonts w:ascii="Wingdings" w:hAnsi="Wingdings" w:hint="default"/>
      </w:rPr>
    </w:lvl>
    <w:lvl w:ilvl="6" w:tplc="0C090001">
      <w:start w:val="1"/>
      <w:numFmt w:val="bullet"/>
      <w:lvlText w:val=""/>
      <w:lvlJc w:val="left"/>
      <w:pPr>
        <w:ind w:left="5494" w:hanging="360"/>
      </w:pPr>
      <w:rPr>
        <w:rFonts w:ascii="Symbol" w:hAnsi="Symbol" w:hint="default"/>
      </w:rPr>
    </w:lvl>
    <w:lvl w:ilvl="7" w:tplc="0C090003">
      <w:start w:val="1"/>
      <w:numFmt w:val="bullet"/>
      <w:lvlText w:val="o"/>
      <w:lvlJc w:val="left"/>
      <w:pPr>
        <w:ind w:left="6214" w:hanging="360"/>
      </w:pPr>
      <w:rPr>
        <w:rFonts w:ascii="Courier New" w:hAnsi="Courier New" w:cs="Courier New" w:hint="default"/>
      </w:rPr>
    </w:lvl>
    <w:lvl w:ilvl="8" w:tplc="0C090005">
      <w:start w:val="1"/>
      <w:numFmt w:val="bullet"/>
      <w:lvlText w:val=""/>
      <w:lvlJc w:val="left"/>
      <w:pPr>
        <w:ind w:left="6934" w:hanging="360"/>
      </w:pPr>
      <w:rPr>
        <w:rFonts w:ascii="Wingdings" w:hAnsi="Wingdings" w:hint="default"/>
      </w:rPr>
    </w:lvl>
  </w:abstractNum>
  <w:abstractNum w:abstractNumId="21" w15:restartNumberingAfterBreak="0">
    <w:nsid w:val="6E260010"/>
    <w:multiLevelType w:val="hybridMultilevel"/>
    <w:tmpl w:val="400EE2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662570F"/>
    <w:multiLevelType w:val="multilevel"/>
    <w:tmpl w:val="88F247E6"/>
    <w:lvl w:ilvl="0">
      <w:start w:val="1"/>
      <w:numFmt w:val="bullet"/>
      <w:lvlText w:val=""/>
      <w:lvlJc w:val="left"/>
      <w:pPr>
        <w:tabs>
          <w:tab w:val="num" w:pos="454"/>
        </w:tabs>
        <w:ind w:left="454" w:hanging="454"/>
      </w:pPr>
      <w:rPr>
        <w:rFonts w:ascii="Wingdings" w:hAnsi="Wingdings" w:hint="default"/>
      </w:rPr>
    </w:lvl>
    <w:lvl w:ilvl="1">
      <w:start w:val="1"/>
      <w:numFmt w:val="bullet"/>
      <w:lvlText w:val=""/>
      <w:lvlJc w:val="left"/>
      <w:pPr>
        <w:tabs>
          <w:tab w:val="num" w:pos="907"/>
        </w:tabs>
        <w:ind w:left="576" w:hanging="576"/>
      </w:pPr>
      <w:rPr>
        <w:rFonts w:ascii="Symbol" w:hAnsi="Symbol" w:hint="default"/>
      </w:rPr>
    </w:lvl>
    <w:lvl w:ilvl="2">
      <w:start w:val="1"/>
      <w:numFmt w:val="none"/>
      <w:lvlText w:val=""/>
      <w:lvlJc w:val="left"/>
      <w:pPr>
        <w:tabs>
          <w:tab w:val="num" w:pos="794"/>
        </w:tabs>
        <w:ind w:left="907" w:hanging="453"/>
      </w:pPr>
    </w:lvl>
    <w:lvl w:ilvl="3">
      <w:start w:val="1"/>
      <w:numFmt w:val="none"/>
      <w:lvlText w:val=""/>
      <w:lvlJc w:val="left"/>
      <w:pPr>
        <w:tabs>
          <w:tab w:val="num" w:pos="454"/>
        </w:tabs>
        <w:ind w:left="454" w:hanging="454"/>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abstractNum w:abstractNumId="23" w15:restartNumberingAfterBreak="0">
    <w:nsid w:val="791749EB"/>
    <w:multiLevelType w:val="hybridMultilevel"/>
    <w:tmpl w:val="F086D7EA"/>
    <w:lvl w:ilvl="0" w:tplc="F0A6BD84">
      <w:start w:val="1"/>
      <w:numFmt w:val="bullet"/>
      <w:lvlText w:val=""/>
      <w:lvlJc w:val="left"/>
      <w:pPr>
        <w:ind w:left="1174" w:hanging="360"/>
      </w:pPr>
      <w:rPr>
        <w:rFonts w:ascii="Symbol" w:hAnsi="Symbol" w:hint="default"/>
      </w:rPr>
    </w:lvl>
    <w:lvl w:ilvl="1" w:tplc="0C090003">
      <w:start w:val="1"/>
      <w:numFmt w:val="bullet"/>
      <w:lvlText w:val="o"/>
      <w:lvlJc w:val="left"/>
      <w:pPr>
        <w:ind w:left="1894" w:hanging="360"/>
      </w:pPr>
      <w:rPr>
        <w:rFonts w:ascii="Courier New" w:hAnsi="Courier New" w:cs="Courier New" w:hint="default"/>
      </w:rPr>
    </w:lvl>
    <w:lvl w:ilvl="2" w:tplc="0C090005">
      <w:start w:val="1"/>
      <w:numFmt w:val="bullet"/>
      <w:lvlText w:val=""/>
      <w:lvlJc w:val="left"/>
      <w:pPr>
        <w:ind w:left="2614" w:hanging="360"/>
      </w:pPr>
      <w:rPr>
        <w:rFonts w:ascii="Wingdings" w:hAnsi="Wingdings" w:hint="default"/>
      </w:rPr>
    </w:lvl>
    <w:lvl w:ilvl="3" w:tplc="0C090001">
      <w:start w:val="1"/>
      <w:numFmt w:val="bullet"/>
      <w:lvlText w:val=""/>
      <w:lvlJc w:val="left"/>
      <w:pPr>
        <w:ind w:left="3334" w:hanging="360"/>
      </w:pPr>
      <w:rPr>
        <w:rFonts w:ascii="Symbol" w:hAnsi="Symbol" w:hint="default"/>
      </w:rPr>
    </w:lvl>
    <w:lvl w:ilvl="4" w:tplc="0C090003">
      <w:start w:val="1"/>
      <w:numFmt w:val="bullet"/>
      <w:lvlText w:val="o"/>
      <w:lvlJc w:val="left"/>
      <w:pPr>
        <w:ind w:left="4054" w:hanging="360"/>
      </w:pPr>
      <w:rPr>
        <w:rFonts w:ascii="Courier New" w:hAnsi="Courier New" w:cs="Courier New" w:hint="default"/>
      </w:rPr>
    </w:lvl>
    <w:lvl w:ilvl="5" w:tplc="0C090005">
      <w:start w:val="1"/>
      <w:numFmt w:val="bullet"/>
      <w:lvlText w:val=""/>
      <w:lvlJc w:val="left"/>
      <w:pPr>
        <w:ind w:left="4774" w:hanging="360"/>
      </w:pPr>
      <w:rPr>
        <w:rFonts w:ascii="Wingdings" w:hAnsi="Wingdings" w:hint="default"/>
      </w:rPr>
    </w:lvl>
    <w:lvl w:ilvl="6" w:tplc="0C090001">
      <w:start w:val="1"/>
      <w:numFmt w:val="bullet"/>
      <w:lvlText w:val=""/>
      <w:lvlJc w:val="left"/>
      <w:pPr>
        <w:ind w:left="5494" w:hanging="360"/>
      </w:pPr>
      <w:rPr>
        <w:rFonts w:ascii="Symbol" w:hAnsi="Symbol" w:hint="default"/>
      </w:rPr>
    </w:lvl>
    <w:lvl w:ilvl="7" w:tplc="0C090003">
      <w:start w:val="1"/>
      <w:numFmt w:val="bullet"/>
      <w:lvlText w:val="o"/>
      <w:lvlJc w:val="left"/>
      <w:pPr>
        <w:ind w:left="6214" w:hanging="360"/>
      </w:pPr>
      <w:rPr>
        <w:rFonts w:ascii="Courier New" w:hAnsi="Courier New" w:cs="Courier New" w:hint="default"/>
      </w:rPr>
    </w:lvl>
    <w:lvl w:ilvl="8" w:tplc="0C090005">
      <w:start w:val="1"/>
      <w:numFmt w:val="bullet"/>
      <w:lvlText w:val=""/>
      <w:lvlJc w:val="left"/>
      <w:pPr>
        <w:ind w:left="6934" w:hanging="360"/>
      </w:pPr>
      <w:rPr>
        <w:rFonts w:ascii="Wingdings" w:hAnsi="Wingdings" w:hint="default"/>
      </w:rPr>
    </w:lvl>
  </w:abstractNum>
  <w:abstractNum w:abstractNumId="24" w15:restartNumberingAfterBreak="0">
    <w:nsid w:val="7C4357A3"/>
    <w:multiLevelType w:val="hybridMultilevel"/>
    <w:tmpl w:val="88742950"/>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25" w15:restartNumberingAfterBreak="0">
    <w:nsid w:val="7D1A1A2B"/>
    <w:multiLevelType w:val="multilevel"/>
    <w:tmpl w:val="51720100"/>
    <w:lvl w:ilvl="0">
      <w:start w:val="1"/>
      <w:numFmt w:val="bullet"/>
      <w:lvlText w:val=""/>
      <w:lvlJc w:val="left"/>
      <w:pPr>
        <w:tabs>
          <w:tab w:val="num" w:pos="454"/>
        </w:tabs>
        <w:ind w:left="454" w:hanging="454"/>
      </w:pPr>
      <w:rPr>
        <w:rFonts w:ascii="Wingdings" w:hAnsi="Wingdings" w:hint="default"/>
      </w:rPr>
    </w:lvl>
    <w:lvl w:ilvl="1">
      <w:start w:val="1"/>
      <w:numFmt w:val="bullet"/>
      <w:lvlText w:val=""/>
      <w:lvlJc w:val="left"/>
      <w:pPr>
        <w:tabs>
          <w:tab w:val="num" w:pos="907"/>
        </w:tabs>
        <w:ind w:left="907" w:hanging="453"/>
      </w:pPr>
      <w:rPr>
        <w:rFonts w:ascii="Symbol" w:hAnsi="Symbol" w:hint="default"/>
      </w:rPr>
    </w:lvl>
    <w:lvl w:ilvl="2">
      <w:start w:val="1"/>
      <w:numFmt w:val="none"/>
      <w:lvlText w:val=""/>
      <w:lvlJc w:val="left"/>
      <w:pPr>
        <w:tabs>
          <w:tab w:val="num" w:pos="794"/>
        </w:tabs>
        <w:ind w:left="907" w:hanging="453"/>
      </w:pPr>
    </w:lvl>
    <w:lvl w:ilvl="3">
      <w:start w:val="1"/>
      <w:numFmt w:val="none"/>
      <w:lvlText w:val=""/>
      <w:lvlJc w:val="left"/>
      <w:pPr>
        <w:tabs>
          <w:tab w:val="num" w:pos="454"/>
        </w:tabs>
        <w:ind w:left="454" w:hanging="454"/>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abstractNum w:abstractNumId="26" w15:restartNumberingAfterBreak="0">
    <w:nsid w:val="7F884D7C"/>
    <w:multiLevelType w:val="hybridMultilevel"/>
    <w:tmpl w:val="C060CAA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8"/>
  </w:num>
  <w:num w:numId="4">
    <w:abstractNumId w:val="19"/>
  </w:num>
  <w:num w:numId="5">
    <w:abstractNumId w:val="14"/>
  </w:num>
  <w:num w:numId="6">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1"/>
  </w:num>
  <w:num w:numId="10">
    <w:abstractNumId w:val="3"/>
  </w:num>
  <w:num w:numId="11">
    <w:abstractNumId w:val="4"/>
  </w:num>
  <w:num w:numId="12">
    <w:abstractNumId w:val="26"/>
  </w:num>
  <w:num w:numId="13">
    <w:abstractNumId w:val="16"/>
  </w:num>
  <w:num w:numId="14">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4"/>
  </w:num>
  <w:num w:numId="17">
    <w:abstractNumId w:val="12"/>
  </w:num>
  <w:num w:numId="18">
    <w:abstractNumId w:val="17"/>
  </w:num>
  <w:num w:numId="19">
    <w:abstractNumId w:val="6"/>
  </w:num>
  <w:num w:numId="20">
    <w:abstractNumId w:val="7"/>
  </w:num>
  <w:num w:numId="21">
    <w:abstractNumId w:val="10"/>
  </w:num>
  <w:num w:numId="22">
    <w:abstractNumId w:val="5"/>
  </w:num>
  <w:num w:numId="23">
    <w:abstractNumId w:val="0"/>
  </w:num>
  <w:num w:numId="24">
    <w:abstractNumId w:val="15"/>
  </w:num>
  <w:num w:numId="25">
    <w:abstractNumId w:val="20"/>
  </w:num>
  <w:num w:numId="26">
    <w:abstractNumId w:val="23"/>
  </w:num>
  <w:num w:numId="27">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42B"/>
    <w:rsid w:val="000145D1"/>
    <w:rsid w:val="0001661E"/>
    <w:rsid w:val="000310E8"/>
    <w:rsid w:val="00032BA1"/>
    <w:rsid w:val="00034FC0"/>
    <w:rsid w:val="0004538A"/>
    <w:rsid w:val="00074207"/>
    <w:rsid w:val="00075AF7"/>
    <w:rsid w:val="0008244B"/>
    <w:rsid w:val="00083FDC"/>
    <w:rsid w:val="00085D23"/>
    <w:rsid w:val="000906A2"/>
    <w:rsid w:val="0009346F"/>
    <w:rsid w:val="000A339F"/>
    <w:rsid w:val="000A472D"/>
    <w:rsid w:val="000C0D72"/>
    <w:rsid w:val="000C3231"/>
    <w:rsid w:val="000D11A1"/>
    <w:rsid w:val="000D307D"/>
    <w:rsid w:val="000D7C22"/>
    <w:rsid w:val="000E30FE"/>
    <w:rsid w:val="000E7136"/>
    <w:rsid w:val="000F1E01"/>
    <w:rsid w:val="000F5659"/>
    <w:rsid w:val="000F6920"/>
    <w:rsid w:val="00102039"/>
    <w:rsid w:val="00103328"/>
    <w:rsid w:val="0010428C"/>
    <w:rsid w:val="00105719"/>
    <w:rsid w:val="00130150"/>
    <w:rsid w:val="00132B22"/>
    <w:rsid w:val="001460C9"/>
    <w:rsid w:val="00151DC4"/>
    <w:rsid w:val="00151DCC"/>
    <w:rsid w:val="00152182"/>
    <w:rsid w:val="001576C3"/>
    <w:rsid w:val="001638A5"/>
    <w:rsid w:val="00175013"/>
    <w:rsid w:val="00177F56"/>
    <w:rsid w:val="00180315"/>
    <w:rsid w:val="00180ED2"/>
    <w:rsid w:val="0018574B"/>
    <w:rsid w:val="00185869"/>
    <w:rsid w:val="001860D3"/>
    <w:rsid w:val="00193BBE"/>
    <w:rsid w:val="001B7333"/>
    <w:rsid w:val="001C2C05"/>
    <w:rsid w:val="001C30D0"/>
    <w:rsid w:val="001C3F08"/>
    <w:rsid w:val="001D56B2"/>
    <w:rsid w:val="001D7CA3"/>
    <w:rsid w:val="001E19E5"/>
    <w:rsid w:val="001F64A2"/>
    <w:rsid w:val="00213AEC"/>
    <w:rsid w:val="00221557"/>
    <w:rsid w:val="002218D2"/>
    <w:rsid w:val="00233159"/>
    <w:rsid w:val="00240A14"/>
    <w:rsid w:val="00245314"/>
    <w:rsid w:val="00251B4E"/>
    <w:rsid w:val="00270878"/>
    <w:rsid w:val="00276BDB"/>
    <w:rsid w:val="00280CF5"/>
    <w:rsid w:val="002A136B"/>
    <w:rsid w:val="002A4564"/>
    <w:rsid w:val="002A6CFF"/>
    <w:rsid w:val="002A76E6"/>
    <w:rsid w:val="002A7E1F"/>
    <w:rsid w:val="002B0491"/>
    <w:rsid w:val="002B08D5"/>
    <w:rsid w:val="002B28C6"/>
    <w:rsid w:val="002C442B"/>
    <w:rsid w:val="002D285F"/>
    <w:rsid w:val="002D522F"/>
    <w:rsid w:val="002F130F"/>
    <w:rsid w:val="002F3A85"/>
    <w:rsid w:val="00305143"/>
    <w:rsid w:val="003078E5"/>
    <w:rsid w:val="00325AF5"/>
    <w:rsid w:val="00331274"/>
    <w:rsid w:val="0034168B"/>
    <w:rsid w:val="00350DC6"/>
    <w:rsid w:val="003550DF"/>
    <w:rsid w:val="003569AC"/>
    <w:rsid w:val="00375714"/>
    <w:rsid w:val="003867CC"/>
    <w:rsid w:val="00391258"/>
    <w:rsid w:val="003954A6"/>
    <w:rsid w:val="003A269A"/>
    <w:rsid w:val="003A2D55"/>
    <w:rsid w:val="003B3309"/>
    <w:rsid w:val="003B7393"/>
    <w:rsid w:val="003B7CEF"/>
    <w:rsid w:val="003C05E3"/>
    <w:rsid w:val="003D3EE2"/>
    <w:rsid w:val="003E6F48"/>
    <w:rsid w:val="003F0399"/>
    <w:rsid w:val="003F20D1"/>
    <w:rsid w:val="003F4CB1"/>
    <w:rsid w:val="003F5883"/>
    <w:rsid w:val="0040478D"/>
    <w:rsid w:val="00407FFD"/>
    <w:rsid w:val="00410AAE"/>
    <w:rsid w:val="00411789"/>
    <w:rsid w:val="0041311A"/>
    <w:rsid w:val="00421A33"/>
    <w:rsid w:val="00426C49"/>
    <w:rsid w:val="00436767"/>
    <w:rsid w:val="00447C18"/>
    <w:rsid w:val="00456D55"/>
    <w:rsid w:val="00460183"/>
    <w:rsid w:val="00461C65"/>
    <w:rsid w:val="00471556"/>
    <w:rsid w:val="00472233"/>
    <w:rsid w:val="004729B0"/>
    <w:rsid w:val="00475948"/>
    <w:rsid w:val="00477816"/>
    <w:rsid w:val="00486D85"/>
    <w:rsid w:val="00495328"/>
    <w:rsid w:val="004A169B"/>
    <w:rsid w:val="004A2663"/>
    <w:rsid w:val="004B316E"/>
    <w:rsid w:val="004B3783"/>
    <w:rsid w:val="004B4DE3"/>
    <w:rsid w:val="004C15C0"/>
    <w:rsid w:val="004C4D9D"/>
    <w:rsid w:val="004D2405"/>
    <w:rsid w:val="004D5ED5"/>
    <w:rsid w:val="00510E1D"/>
    <w:rsid w:val="00512107"/>
    <w:rsid w:val="005176C7"/>
    <w:rsid w:val="00530C3C"/>
    <w:rsid w:val="00534889"/>
    <w:rsid w:val="005364ED"/>
    <w:rsid w:val="005445BD"/>
    <w:rsid w:val="00546073"/>
    <w:rsid w:val="0055031D"/>
    <w:rsid w:val="00550587"/>
    <w:rsid w:val="005523F0"/>
    <w:rsid w:val="00554C8D"/>
    <w:rsid w:val="00560D8D"/>
    <w:rsid w:val="00565189"/>
    <w:rsid w:val="00572E8A"/>
    <w:rsid w:val="005772F2"/>
    <w:rsid w:val="00581A52"/>
    <w:rsid w:val="00585E6D"/>
    <w:rsid w:val="005867E8"/>
    <w:rsid w:val="005929A0"/>
    <w:rsid w:val="005944F3"/>
    <w:rsid w:val="00596A59"/>
    <w:rsid w:val="005B38DC"/>
    <w:rsid w:val="005B5C2C"/>
    <w:rsid w:val="005B77E7"/>
    <w:rsid w:val="005C22C2"/>
    <w:rsid w:val="005C32C3"/>
    <w:rsid w:val="005D29B4"/>
    <w:rsid w:val="005D7864"/>
    <w:rsid w:val="005E0359"/>
    <w:rsid w:val="005E2DCE"/>
    <w:rsid w:val="005E3A09"/>
    <w:rsid w:val="005E601E"/>
    <w:rsid w:val="005E6BA6"/>
    <w:rsid w:val="005F0D6F"/>
    <w:rsid w:val="005F69BA"/>
    <w:rsid w:val="005F6C7C"/>
    <w:rsid w:val="0060076A"/>
    <w:rsid w:val="00617790"/>
    <w:rsid w:val="00626721"/>
    <w:rsid w:val="00632413"/>
    <w:rsid w:val="006336DF"/>
    <w:rsid w:val="0064088E"/>
    <w:rsid w:val="00650BE3"/>
    <w:rsid w:val="006600F1"/>
    <w:rsid w:val="0066583D"/>
    <w:rsid w:val="00665A14"/>
    <w:rsid w:val="00667670"/>
    <w:rsid w:val="00673F08"/>
    <w:rsid w:val="00676375"/>
    <w:rsid w:val="00681A92"/>
    <w:rsid w:val="006833DB"/>
    <w:rsid w:val="00690D48"/>
    <w:rsid w:val="006A2FDD"/>
    <w:rsid w:val="006A45AD"/>
    <w:rsid w:val="006B1D67"/>
    <w:rsid w:val="006B69CF"/>
    <w:rsid w:val="006C1D2F"/>
    <w:rsid w:val="006C27AE"/>
    <w:rsid w:val="006D1F38"/>
    <w:rsid w:val="006E43BF"/>
    <w:rsid w:val="006F4F3A"/>
    <w:rsid w:val="00714BCC"/>
    <w:rsid w:val="0072650B"/>
    <w:rsid w:val="0073254E"/>
    <w:rsid w:val="007458BD"/>
    <w:rsid w:val="00760205"/>
    <w:rsid w:val="00766CC3"/>
    <w:rsid w:val="00773A7F"/>
    <w:rsid w:val="00773F88"/>
    <w:rsid w:val="00774E65"/>
    <w:rsid w:val="00777A70"/>
    <w:rsid w:val="0078703B"/>
    <w:rsid w:val="00787F78"/>
    <w:rsid w:val="00790A2E"/>
    <w:rsid w:val="007D2023"/>
    <w:rsid w:val="007D30A7"/>
    <w:rsid w:val="007D4BB0"/>
    <w:rsid w:val="007D4FE6"/>
    <w:rsid w:val="007E50E9"/>
    <w:rsid w:val="007E5E25"/>
    <w:rsid w:val="008030EE"/>
    <w:rsid w:val="008131E5"/>
    <w:rsid w:val="00820E6E"/>
    <w:rsid w:val="00822D22"/>
    <w:rsid w:val="008261CA"/>
    <w:rsid w:val="008354CD"/>
    <w:rsid w:val="00855F5C"/>
    <w:rsid w:val="00856144"/>
    <w:rsid w:val="00857BD5"/>
    <w:rsid w:val="0086013A"/>
    <w:rsid w:val="0086033E"/>
    <w:rsid w:val="00867546"/>
    <w:rsid w:val="0087540E"/>
    <w:rsid w:val="0088289D"/>
    <w:rsid w:val="00883882"/>
    <w:rsid w:val="00890EE3"/>
    <w:rsid w:val="00891315"/>
    <w:rsid w:val="00896389"/>
    <w:rsid w:val="0089642C"/>
    <w:rsid w:val="008A261F"/>
    <w:rsid w:val="008A3609"/>
    <w:rsid w:val="008A4409"/>
    <w:rsid w:val="008A79BE"/>
    <w:rsid w:val="008B2E80"/>
    <w:rsid w:val="008B4050"/>
    <w:rsid w:val="008C1B80"/>
    <w:rsid w:val="008C2896"/>
    <w:rsid w:val="008D1D44"/>
    <w:rsid w:val="008D2039"/>
    <w:rsid w:val="008D3180"/>
    <w:rsid w:val="008D37DE"/>
    <w:rsid w:val="008D6D8B"/>
    <w:rsid w:val="008E0192"/>
    <w:rsid w:val="008E0DF8"/>
    <w:rsid w:val="008E7C20"/>
    <w:rsid w:val="008F114E"/>
    <w:rsid w:val="008F4FD9"/>
    <w:rsid w:val="009070AA"/>
    <w:rsid w:val="00921372"/>
    <w:rsid w:val="0092623A"/>
    <w:rsid w:val="00926E7C"/>
    <w:rsid w:val="00940E27"/>
    <w:rsid w:val="00944A5D"/>
    <w:rsid w:val="00951646"/>
    <w:rsid w:val="00951A63"/>
    <w:rsid w:val="0095245F"/>
    <w:rsid w:val="00960E1A"/>
    <w:rsid w:val="0096421F"/>
    <w:rsid w:val="0096483B"/>
    <w:rsid w:val="00964EE9"/>
    <w:rsid w:val="00967E67"/>
    <w:rsid w:val="009719F7"/>
    <w:rsid w:val="00974EF3"/>
    <w:rsid w:val="00984CD8"/>
    <w:rsid w:val="00991EC1"/>
    <w:rsid w:val="009B3067"/>
    <w:rsid w:val="009B6CE8"/>
    <w:rsid w:val="009C100F"/>
    <w:rsid w:val="009C7521"/>
    <w:rsid w:val="009D6BF8"/>
    <w:rsid w:val="009E2FA1"/>
    <w:rsid w:val="009F6481"/>
    <w:rsid w:val="00A03772"/>
    <w:rsid w:val="00A04256"/>
    <w:rsid w:val="00A136B5"/>
    <w:rsid w:val="00A2638E"/>
    <w:rsid w:val="00A26E44"/>
    <w:rsid w:val="00A276E4"/>
    <w:rsid w:val="00A32819"/>
    <w:rsid w:val="00A34EB8"/>
    <w:rsid w:val="00A3715C"/>
    <w:rsid w:val="00A41574"/>
    <w:rsid w:val="00A54433"/>
    <w:rsid w:val="00A621B6"/>
    <w:rsid w:val="00A73A68"/>
    <w:rsid w:val="00A751AB"/>
    <w:rsid w:val="00A92542"/>
    <w:rsid w:val="00A92A83"/>
    <w:rsid w:val="00AA4AE2"/>
    <w:rsid w:val="00AA5A61"/>
    <w:rsid w:val="00AA6C5D"/>
    <w:rsid w:val="00AA6FCF"/>
    <w:rsid w:val="00AB6D04"/>
    <w:rsid w:val="00AC226B"/>
    <w:rsid w:val="00AC281F"/>
    <w:rsid w:val="00AC6A73"/>
    <w:rsid w:val="00AD6C0C"/>
    <w:rsid w:val="00AD7557"/>
    <w:rsid w:val="00AE1756"/>
    <w:rsid w:val="00AE2761"/>
    <w:rsid w:val="00AF4766"/>
    <w:rsid w:val="00B005B2"/>
    <w:rsid w:val="00B0262D"/>
    <w:rsid w:val="00B02C83"/>
    <w:rsid w:val="00B06186"/>
    <w:rsid w:val="00B06C47"/>
    <w:rsid w:val="00B1064F"/>
    <w:rsid w:val="00B20D67"/>
    <w:rsid w:val="00B22B18"/>
    <w:rsid w:val="00B243AB"/>
    <w:rsid w:val="00B30120"/>
    <w:rsid w:val="00B40B37"/>
    <w:rsid w:val="00B43C9E"/>
    <w:rsid w:val="00B4737B"/>
    <w:rsid w:val="00B5609B"/>
    <w:rsid w:val="00B61F2A"/>
    <w:rsid w:val="00B75204"/>
    <w:rsid w:val="00B80535"/>
    <w:rsid w:val="00B81C56"/>
    <w:rsid w:val="00B922AA"/>
    <w:rsid w:val="00BA42C8"/>
    <w:rsid w:val="00BB020A"/>
    <w:rsid w:val="00BB0A20"/>
    <w:rsid w:val="00BC554A"/>
    <w:rsid w:val="00BE1611"/>
    <w:rsid w:val="00BE2211"/>
    <w:rsid w:val="00BE3ED8"/>
    <w:rsid w:val="00BE4D68"/>
    <w:rsid w:val="00BE52A8"/>
    <w:rsid w:val="00BF55E9"/>
    <w:rsid w:val="00C00D3B"/>
    <w:rsid w:val="00C103C7"/>
    <w:rsid w:val="00C12970"/>
    <w:rsid w:val="00C16D83"/>
    <w:rsid w:val="00C2133D"/>
    <w:rsid w:val="00C21C38"/>
    <w:rsid w:val="00C354D9"/>
    <w:rsid w:val="00C475D5"/>
    <w:rsid w:val="00C47D34"/>
    <w:rsid w:val="00C630C2"/>
    <w:rsid w:val="00C82AB9"/>
    <w:rsid w:val="00C90AB2"/>
    <w:rsid w:val="00C91892"/>
    <w:rsid w:val="00C97479"/>
    <w:rsid w:val="00C97D64"/>
    <w:rsid w:val="00CB26EB"/>
    <w:rsid w:val="00CC05EF"/>
    <w:rsid w:val="00CC5485"/>
    <w:rsid w:val="00CC55CC"/>
    <w:rsid w:val="00CC689F"/>
    <w:rsid w:val="00CC6ECD"/>
    <w:rsid w:val="00CE62A2"/>
    <w:rsid w:val="00CF15BC"/>
    <w:rsid w:val="00D123EF"/>
    <w:rsid w:val="00D21F59"/>
    <w:rsid w:val="00D347A2"/>
    <w:rsid w:val="00D372CE"/>
    <w:rsid w:val="00D41369"/>
    <w:rsid w:val="00D427FE"/>
    <w:rsid w:val="00D47664"/>
    <w:rsid w:val="00D50855"/>
    <w:rsid w:val="00D66A26"/>
    <w:rsid w:val="00D74006"/>
    <w:rsid w:val="00D75926"/>
    <w:rsid w:val="00D80D99"/>
    <w:rsid w:val="00D81ABB"/>
    <w:rsid w:val="00D94967"/>
    <w:rsid w:val="00DA1860"/>
    <w:rsid w:val="00DB6D6D"/>
    <w:rsid w:val="00DC0073"/>
    <w:rsid w:val="00DC134E"/>
    <w:rsid w:val="00DC401F"/>
    <w:rsid w:val="00DD181A"/>
    <w:rsid w:val="00DD4854"/>
    <w:rsid w:val="00DF368A"/>
    <w:rsid w:val="00E01828"/>
    <w:rsid w:val="00E02501"/>
    <w:rsid w:val="00E11504"/>
    <w:rsid w:val="00E12398"/>
    <w:rsid w:val="00E1544D"/>
    <w:rsid w:val="00E16B28"/>
    <w:rsid w:val="00E24B3F"/>
    <w:rsid w:val="00E30679"/>
    <w:rsid w:val="00E3586E"/>
    <w:rsid w:val="00E3704A"/>
    <w:rsid w:val="00E40A2D"/>
    <w:rsid w:val="00E40F4F"/>
    <w:rsid w:val="00E41AB9"/>
    <w:rsid w:val="00E43027"/>
    <w:rsid w:val="00E439CB"/>
    <w:rsid w:val="00E458C9"/>
    <w:rsid w:val="00E45E39"/>
    <w:rsid w:val="00E4753E"/>
    <w:rsid w:val="00E50BD3"/>
    <w:rsid w:val="00E63D2F"/>
    <w:rsid w:val="00E80AEF"/>
    <w:rsid w:val="00EB18BD"/>
    <w:rsid w:val="00EB3829"/>
    <w:rsid w:val="00EB47F0"/>
    <w:rsid w:val="00ED4279"/>
    <w:rsid w:val="00ED5E64"/>
    <w:rsid w:val="00EE14D8"/>
    <w:rsid w:val="00EE2F9F"/>
    <w:rsid w:val="00EE6C0A"/>
    <w:rsid w:val="00EF377E"/>
    <w:rsid w:val="00EF4DB1"/>
    <w:rsid w:val="00F04CFB"/>
    <w:rsid w:val="00F069EE"/>
    <w:rsid w:val="00F06ABB"/>
    <w:rsid w:val="00F103DA"/>
    <w:rsid w:val="00F10D34"/>
    <w:rsid w:val="00F27295"/>
    <w:rsid w:val="00F2771B"/>
    <w:rsid w:val="00F31918"/>
    <w:rsid w:val="00F31B2F"/>
    <w:rsid w:val="00F542F3"/>
    <w:rsid w:val="00F55F9E"/>
    <w:rsid w:val="00F60895"/>
    <w:rsid w:val="00F702B1"/>
    <w:rsid w:val="00F74FAF"/>
    <w:rsid w:val="00F81FC1"/>
    <w:rsid w:val="00F83DDD"/>
    <w:rsid w:val="00F86217"/>
    <w:rsid w:val="00F90FC4"/>
    <w:rsid w:val="00F97ECD"/>
    <w:rsid w:val="00FA571C"/>
    <w:rsid w:val="00FA7BAB"/>
    <w:rsid w:val="00FB44E6"/>
    <w:rsid w:val="00FC0318"/>
    <w:rsid w:val="00FD029B"/>
    <w:rsid w:val="00FD2066"/>
    <w:rsid w:val="00FD2F98"/>
    <w:rsid w:val="00FE53A7"/>
    <w:rsid w:val="00FF37AE"/>
    <w:rsid w:val="00FF5B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BBDEF4"/>
  <w15:chartTrackingRefBased/>
  <w15:docId w15:val="{BA4A2E70-61AA-40DA-B124-01D8F6884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42B"/>
    <w:pPr>
      <w:spacing w:before="220" w:after="80" w:line="360" w:lineRule="auto"/>
    </w:pPr>
    <w:rPr>
      <w:rFonts w:eastAsia="Times New Roman" w:cs="Times New Roman"/>
      <w:color w:val="000000" w:themeColor="text1"/>
      <w:spacing w:val="4"/>
      <w:szCs w:val="24"/>
      <w:lang w:eastAsia="en-AU"/>
    </w:rPr>
  </w:style>
  <w:style w:type="paragraph" w:styleId="Heading1">
    <w:name w:val="heading 1"/>
    <w:basedOn w:val="Normal"/>
    <w:link w:val="Heading1Char"/>
    <w:uiPriority w:val="9"/>
    <w:qFormat/>
    <w:rsid w:val="005C22C2"/>
    <w:pPr>
      <w:spacing w:before="100" w:beforeAutospacing="1" w:after="100" w:afterAutospacing="1" w:line="240" w:lineRule="auto"/>
      <w:outlineLvl w:val="0"/>
    </w:pPr>
    <w:rPr>
      <w:rFonts w:ascii="Times New Roman" w:hAnsi="Times New Roman"/>
      <w:b/>
      <w:bCs/>
      <w:color w:val="auto"/>
      <w:spacing w:val="0"/>
      <w:kern w:val="36"/>
      <w:sz w:val="48"/>
      <w:szCs w:val="48"/>
    </w:rPr>
  </w:style>
  <w:style w:type="paragraph" w:styleId="Heading2">
    <w:name w:val="heading 2"/>
    <w:basedOn w:val="Normal"/>
    <w:next w:val="Normal"/>
    <w:link w:val="Heading2Char"/>
    <w:uiPriority w:val="9"/>
    <w:semiHidden/>
    <w:unhideWhenUsed/>
    <w:qFormat/>
    <w:rsid w:val="00C16D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31918"/>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uiPriority w:val="9"/>
    <w:semiHidden/>
    <w:unhideWhenUsed/>
    <w:qFormat/>
    <w:rsid w:val="00486D8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hibit">
    <w:name w:val="_Exhibit"/>
    <w:basedOn w:val="Normal"/>
    <w:next w:val="Normal"/>
    <w:link w:val="ExhibitChar"/>
    <w:qFormat/>
    <w:rsid w:val="00185869"/>
    <w:pPr>
      <w:keepNext/>
      <w:spacing w:before="240" w:after="240" w:line="240" w:lineRule="auto"/>
    </w:pPr>
    <w:rPr>
      <w:b/>
      <w:spacing w:val="0"/>
      <w:lang w:eastAsia="de-DE"/>
    </w:rPr>
  </w:style>
  <w:style w:type="character" w:customStyle="1" w:styleId="ExhibitChar">
    <w:name w:val="_Exhibit Char"/>
    <w:basedOn w:val="DefaultParagraphFont"/>
    <w:link w:val="Exhibit"/>
    <w:rsid w:val="00185869"/>
    <w:rPr>
      <w:rFonts w:eastAsia="Times New Roman" w:cs="Times New Roman"/>
      <w:b/>
      <w:color w:val="000000" w:themeColor="text1"/>
      <w:szCs w:val="24"/>
      <w:lang w:eastAsia="de-DE"/>
    </w:rPr>
  </w:style>
  <w:style w:type="character" w:styleId="Hyperlink">
    <w:name w:val="Hyperlink"/>
    <w:basedOn w:val="DefaultParagraphFont"/>
    <w:uiPriority w:val="99"/>
    <w:unhideWhenUsed/>
    <w:rsid w:val="00C91892"/>
    <w:rPr>
      <w:color w:val="0000FF"/>
      <w:u w:val="single"/>
    </w:rPr>
  </w:style>
  <w:style w:type="paragraph" w:customStyle="1" w:styleId="Bulletlist">
    <w:name w:val="Bullet list"/>
    <w:basedOn w:val="NoSpacing"/>
    <w:link w:val="BulletlistChar"/>
    <w:qFormat/>
    <w:rsid w:val="00BE52A8"/>
    <w:pPr>
      <w:numPr>
        <w:numId w:val="1"/>
      </w:numPr>
      <w:spacing w:after="120" w:line="269" w:lineRule="auto"/>
    </w:pPr>
    <w:rPr>
      <w:rFonts w:ascii="Arial" w:eastAsiaTheme="minorHAnsi" w:hAnsi="Arial" w:cs="Arial"/>
      <w:color w:val="auto"/>
      <w:spacing w:val="0"/>
      <w:sz w:val="20"/>
      <w:szCs w:val="22"/>
      <w:lang w:eastAsia="en-US"/>
    </w:rPr>
  </w:style>
  <w:style w:type="character" w:customStyle="1" w:styleId="BulletlistChar">
    <w:name w:val="Bullet list Char"/>
    <w:basedOn w:val="DefaultParagraphFont"/>
    <w:link w:val="Bulletlist"/>
    <w:rsid w:val="00BE52A8"/>
    <w:rPr>
      <w:rFonts w:ascii="Arial" w:hAnsi="Arial" w:cs="Arial"/>
      <w:sz w:val="20"/>
    </w:rPr>
  </w:style>
  <w:style w:type="paragraph" w:styleId="NoSpacing">
    <w:name w:val="No Spacing"/>
    <w:uiPriority w:val="1"/>
    <w:qFormat/>
    <w:rsid w:val="00BE52A8"/>
    <w:pPr>
      <w:spacing w:after="0" w:line="240" w:lineRule="auto"/>
    </w:pPr>
    <w:rPr>
      <w:rFonts w:eastAsia="Times New Roman" w:cs="Times New Roman"/>
      <w:color w:val="000000" w:themeColor="text1"/>
      <w:spacing w:val="4"/>
      <w:szCs w:val="24"/>
      <w:lang w:eastAsia="en-AU"/>
    </w:rPr>
  </w:style>
  <w:style w:type="paragraph" w:styleId="ListParagraph">
    <w:name w:val="List Paragraph"/>
    <w:aliases w:val="Recommendation,List Paragraph1,List Paragraph11,List Paragraph*,Dot Point,#List Paragraph,L,Bullet point,List Paragraph111,F5 List Paragraph,Dot pt,CV text,Table text,Medium Grid 1 - Accent 21,Numbered Paragraph,List Paragraph2,FooterText"/>
    <w:basedOn w:val="Normal"/>
    <w:link w:val="ListParagraphChar"/>
    <w:uiPriority w:val="34"/>
    <w:qFormat/>
    <w:rsid w:val="00ED4279"/>
    <w:pPr>
      <w:spacing w:before="0" w:after="160" w:line="259" w:lineRule="auto"/>
      <w:ind w:left="720"/>
      <w:contextualSpacing/>
    </w:pPr>
    <w:rPr>
      <w:rFonts w:eastAsiaTheme="minorHAnsi" w:cstheme="minorBidi"/>
      <w:color w:val="auto"/>
      <w:spacing w:val="0"/>
      <w:szCs w:val="22"/>
      <w:lang w:eastAsia="en-US"/>
    </w:rPr>
  </w:style>
  <w:style w:type="character" w:customStyle="1" w:styleId="ListParagraphChar">
    <w:name w:val="List Paragraph Char"/>
    <w:aliases w:val="Recommendation Char,List Paragraph1 Char,List Paragraph11 Char,List Paragraph* Char,Dot Point Char,#List Paragraph Char,L Char,Bullet point Char,List Paragraph111 Char,F5 List Paragraph Char,Dot pt Char,CV text Char,Table text Char"/>
    <w:basedOn w:val="DefaultParagraphFont"/>
    <w:link w:val="ListParagraph"/>
    <w:uiPriority w:val="34"/>
    <w:qFormat/>
    <w:rsid w:val="00ED4279"/>
  </w:style>
  <w:style w:type="paragraph" w:styleId="FootnoteText">
    <w:name w:val="footnote text"/>
    <w:basedOn w:val="Normal"/>
    <w:link w:val="FootnoteTextChar"/>
    <w:uiPriority w:val="99"/>
    <w:unhideWhenUsed/>
    <w:rsid w:val="00896389"/>
    <w:pPr>
      <w:spacing w:before="0" w:after="0" w:line="240" w:lineRule="auto"/>
    </w:pPr>
    <w:rPr>
      <w:sz w:val="20"/>
      <w:szCs w:val="20"/>
    </w:rPr>
  </w:style>
  <w:style w:type="character" w:customStyle="1" w:styleId="FootnoteTextChar">
    <w:name w:val="Footnote Text Char"/>
    <w:basedOn w:val="DefaultParagraphFont"/>
    <w:link w:val="FootnoteText"/>
    <w:uiPriority w:val="99"/>
    <w:rsid w:val="00896389"/>
    <w:rPr>
      <w:rFonts w:eastAsia="Times New Roman" w:cs="Times New Roman"/>
      <w:color w:val="000000" w:themeColor="text1"/>
      <w:spacing w:val="4"/>
      <w:sz w:val="20"/>
      <w:szCs w:val="20"/>
      <w:lang w:eastAsia="en-AU"/>
    </w:rPr>
  </w:style>
  <w:style w:type="character" w:styleId="FootnoteReference">
    <w:name w:val="footnote reference"/>
    <w:basedOn w:val="DefaultParagraphFont"/>
    <w:uiPriority w:val="99"/>
    <w:unhideWhenUsed/>
    <w:qFormat/>
    <w:rsid w:val="00896389"/>
    <w:rPr>
      <w:vertAlign w:val="superscript"/>
    </w:rPr>
  </w:style>
  <w:style w:type="character" w:customStyle="1" w:styleId="normaltextrun">
    <w:name w:val="normaltextrun"/>
    <w:basedOn w:val="DefaultParagraphFont"/>
    <w:rsid w:val="006A45AD"/>
  </w:style>
  <w:style w:type="paragraph" w:styleId="BalloonText">
    <w:name w:val="Balloon Text"/>
    <w:basedOn w:val="Normal"/>
    <w:link w:val="BalloonTextChar"/>
    <w:uiPriority w:val="99"/>
    <w:semiHidden/>
    <w:unhideWhenUsed/>
    <w:rsid w:val="00E458C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8C9"/>
    <w:rPr>
      <w:rFonts w:ascii="Segoe UI" w:eastAsia="Times New Roman" w:hAnsi="Segoe UI" w:cs="Segoe UI"/>
      <w:color w:val="000000" w:themeColor="text1"/>
      <w:spacing w:val="4"/>
      <w:sz w:val="18"/>
      <w:szCs w:val="18"/>
      <w:lang w:eastAsia="en-AU"/>
    </w:rPr>
  </w:style>
  <w:style w:type="character" w:styleId="UnresolvedMention">
    <w:name w:val="Unresolved Mention"/>
    <w:basedOn w:val="DefaultParagraphFont"/>
    <w:uiPriority w:val="99"/>
    <w:semiHidden/>
    <w:unhideWhenUsed/>
    <w:rsid w:val="00EB18BD"/>
    <w:rPr>
      <w:color w:val="605E5C"/>
      <w:shd w:val="clear" w:color="auto" w:fill="E1DFDD"/>
    </w:rPr>
  </w:style>
  <w:style w:type="paragraph" w:styleId="EndnoteText">
    <w:name w:val="endnote text"/>
    <w:basedOn w:val="Normal"/>
    <w:link w:val="EndnoteTextChar"/>
    <w:uiPriority w:val="99"/>
    <w:unhideWhenUsed/>
    <w:rsid w:val="000C3231"/>
    <w:pPr>
      <w:spacing w:before="0" w:after="0" w:line="240" w:lineRule="auto"/>
    </w:pPr>
    <w:rPr>
      <w:rFonts w:ascii="Arial" w:eastAsiaTheme="minorHAnsi" w:hAnsi="Arial" w:cstheme="minorBidi"/>
      <w:color w:val="auto"/>
      <w:spacing w:val="0"/>
      <w:sz w:val="20"/>
      <w:szCs w:val="20"/>
      <w:lang w:eastAsia="en-US"/>
    </w:rPr>
  </w:style>
  <w:style w:type="character" w:customStyle="1" w:styleId="EndnoteTextChar">
    <w:name w:val="Endnote Text Char"/>
    <w:basedOn w:val="DefaultParagraphFont"/>
    <w:link w:val="EndnoteText"/>
    <w:uiPriority w:val="99"/>
    <w:rsid w:val="000C3231"/>
    <w:rPr>
      <w:rFonts w:ascii="Arial" w:hAnsi="Arial"/>
      <w:sz w:val="20"/>
      <w:szCs w:val="20"/>
    </w:rPr>
  </w:style>
  <w:style w:type="character" w:styleId="EndnoteReference">
    <w:name w:val="endnote reference"/>
    <w:basedOn w:val="DefaultParagraphFont"/>
    <w:uiPriority w:val="99"/>
    <w:unhideWhenUsed/>
    <w:rsid w:val="000C3231"/>
    <w:rPr>
      <w:vertAlign w:val="superscript"/>
    </w:rPr>
  </w:style>
  <w:style w:type="paragraph" w:styleId="ListBullet">
    <w:name w:val="List Bullet"/>
    <w:basedOn w:val="Normal"/>
    <w:uiPriority w:val="99"/>
    <w:unhideWhenUsed/>
    <w:qFormat/>
    <w:rsid w:val="0040478D"/>
    <w:pPr>
      <w:numPr>
        <w:numId w:val="8"/>
      </w:numPr>
      <w:shd w:val="clear" w:color="auto" w:fill="FFFFFF"/>
      <w:spacing w:before="0" w:after="0" w:line="240" w:lineRule="auto"/>
    </w:pPr>
    <w:rPr>
      <w:rFonts w:ascii="Arial" w:eastAsia="Calibri" w:hAnsi="Arial"/>
      <w:color w:val="auto"/>
      <w:spacing w:val="0"/>
      <w:sz w:val="24"/>
      <w:lang w:eastAsia="en-US"/>
    </w:rPr>
  </w:style>
  <w:style w:type="paragraph" w:customStyle="1" w:styleId="Listdashlevel2">
    <w:name w:val="List dash (level 2)"/>
    <w:basedOn w:val="Normal"/>
    <w:uiPriority w:val="99"/>
    <w:qFormat/>
    <w:rsid w:val="0040478D"/>
    <w:pPr>
      <w:numPr>
        <w:ilvl w:val="1"/>
        <w:numId w:val="8"/>
      </w:numPr>
      <w:shd w:val="clear" w:color="auto" w:fill="FFFFFF"/>
      <w:spacing w:before="0" w:after="0" w:line="240" w:lineRule="auto"/>
    </w:pPr>
    <w:rPr>
      <w:rFonts w:ascii="Arial" w:eastAsia="Calibri" w:hAnsi="Arial"/>
      <w:color w:val="auto"/>
      <w:spacing w:val="0"/>
      <w:sz w:val="24"/>
      <w:lang w:eastAsia="en-US"/>
    </w:rPr>
  </w:style>
  <w:style w:type="numbering" w:customStyle="1" w:styleId="Bullets">
    <w:name w:val="Bullets"/>
    <w:uiPriority w:val="99"/>
    <w:rsid w:val="0040478D"/>
    <w:pPr>
      <w:numPr>
        <w:numId w:val="8"/>
      </w:numPr>
    </w:pPr>
  </w:style>
  <w:style w:type="character" w:customStyle="1" w:styleId="Heading1Char">
    <w:name w:val="Heading 1 Char"/>
    <w:basedOn w:val="DefaultParagraphFont"/>
    <w:link w:val="Heading1"/>
    <w:uiPriority w:val="9"/>
    <w:rsid w:val="005C22C2"/>
    <w:rPr>
      <w:rFonts w:ascii="Times New Roman" w:eastAsia="Times New Roman" w:hAnsi="Times New Roman" w:cs="Times New Roman"/>
      <w:b/>
      <w:bCs/>
      <w:kern w:val="36"/>
      <w:sz w:val="48"/>
      <w:szCs w:val="48"/>
      <w:lang w:eastAsia="en-AU"/>
    </w:rPr>
  </w:style>
  <w:style w:type="paragraph" w:customStyle="1" w:styleId="Default">
    <w:name w:val="Default"/>
    <w:link w:val="DefaultChar"/>
    <w:rsid w:val="00883882"/>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177F56"/>
    <w:rPr>
      <w:sz w:val="16"/>
      <w:szCs w:val="16"/>
    </w:rPr>
  </w:style>
  <w:style w:type="paragraph" w:styleId="CommentText">
    <w:name w:val="annotation text"/>
    <w:basedOn w:val="Normal"/>
    <w:link w:val="CommentTextChar"/>
    <w:uiPriority w:val="99"/>
    <w:unhideWhenUsed/>
    <w:rsid w:val="00177F56"/>
    <w:pPr>
      <w:spacing w:line="240" w:lineRule="auto"/>
    </w:pPr>
    <w:rPr>
      <w:sz w:val="20"/>
      <w:szCs w:val="20"/>
    </w:rPr>
  </w:style>
  <w:style w:type="character" w:customStyle="1" w:styleId="CommentTextChar">
    <w:name w:val="Comment Text Char"/>
    <w:basedOn w:val="DefaultParagraphFont"/>
    <w:link w:val="CommentText"/>
    <w:uiPriority w:val="99"/>
    <w:rsid w:val="00177F56"/>
    <w:rPr>
      <w:rFonts w:eastAsia="Times New Roman" w:cs="Times New Roman"/>
      <w:color w:val="000000" w:themeColor="text1"/>
      <w:spacing w:val="4"/>
      <w:sz w:val="20"/>
      <w:szCs w:val="20"/>
      <w:lang w:eastAsia="en-AU"/>
    </w:rPr>
  </w:style>
  <w:style w:type="paragraph" w:styleId="CommentSubject">
    <w:name w:val="annotation subject"/>
    <w:basedOn w:val="CommentText"/>
    <w:next w:val="CommentText"/>
    <w:link w:val="CommentSubjectChar"/>
    <w:uiPriority w:val="99"/>
    <w:semiHidden/>
    <w:unhideWhenUsed/>
    <w:rsid w:val="00177F56"/>
    <w:rPr>
      <w:b/>
      <w:bCs/>
    </w:rPr>
  </w:style>
  <w:style w:type="character" w:customStyle="1" w:styleId="CommentSubjectChar">
    <w:name w:val="Comment Subject Char"/>
    <w:basedOn w:val="CommentTextChar"/>
    <w:link w:val="CommentSubject"/>
    <w:uiPriority w:val="99"/>
    <w:semiHidden/>
    <w:rsid w:val="00177F56"/>
    <w:rPr>
      <w:rFonts w:eastAsia="Times New Roman" w:cs="Times New Roman"/>
      <w:b/>
      <w:bCs/>
      <w:color w:val="000000" w:themeColor="text1"/>
      <w:spacing w:val="4"/>
      <w:sz w:val="20"/>
      <w:szCs w:val="20"/>
      <w:lang w:eastAsia="en-AU"/>
    </w:rPr>
  </w:style>
  <w:style w:type="paragraph" w:styleId="Header">
    <w:name w:val="header"/>
    <w:basedOn w:val="Normal"/>
    <w:link w:val="HeaderChar"/>
    <w:uiPriority w:val="99"/>
    <w:unhideWhenUsed/>
    <w:rsid w:val="00E439C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439CB"/>
    <w:rPr>
      <w:rFonts w:eastAsia="Times New Roman" w:cs="Times New Roman"/>
      <w:color w:val="000000" w:themeColor="text1"/>
      <w:spacing w:val="4"/>
      <w:szCs w:val="24"/>
      <w:lang w:eastAsia="en-AU"/>
    </w:rPr>
  </w:style>
  <w:style w:type="paragraph" w:styleId="Footer">
    <w:name w:val="footer"/>
    <w:basedOn w:val="Normal"/>
    <w:link w:val="FooterChar"/>
    <w:uiPriority w:val="99"/>
    <w:unhideWhenUsed/>
    <w:rsid w:val="00E439C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439CB"/>
    <w:rPr>
      <w:rFonts w:eastAsia="Times New Roman" w:cs="Times New Roman"/>
      <w:color w:val="000000" w:themeColor="text1"/>
      <w:spacing w:val="4"/>
      <w:szCs w:val="24"/>
      <w:lang w:eastAsia="en-AU"/>
    </w:rPr>
  </w:style>
  <w:style w:type="table" w:styleId="TableGrid">
    <w:name w:val="Table Grid"/>
    <w:basedOn w:val="TableNormal"/>
    <w:uiPriority w:val="39"/>
    <w:rsid w:val="00E2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486D85"/>
    <w:rPr>
      <w:rFonts w:asciiTheme="majorHAnsi" w:eastAsiaTheme="majorEastAsia" w:hAnsiTheme="majorHAnsi" w:cstheme="majorBidi"/>
      <w:i/>
      <w:iCs/>
      <w:color w:val="2E74B5" w:themeColor="accent1" w:themeShade="BF"/>
      <w:spacing w:val="4"/>
      <w:szCs w:val="24"/>
      <w:lang w:eastAsia="en-AU"/>
    </w:rPr>
  </w:style>
  <w:style w:type="paragraph" w:styleId="NormalWeb">
    <w:name w:val="Normal (Web)"/>
    <w:basedOn w:val="Normal"/>
    <w:uiPriority w:val="99"/>
    <w:semiHidden/>
    <w:unhideWhenUsed/>
    <w:rsid w:val="00486D85"/>
    <w:pPr>
      <w:spacing w:before="100" w:beforeAutospacing="1" w:after="100" w:afterAutospacing="1" w:line="240" w:lineRule="auto"/>
    </w:pPr>
    <w:rPr>
      <w:rFonts w:ascii="Times New Roman" w:hAnsi="Times New Roman"/>
      <w:color w:val="auto"/>
      <w:spacing w:val="0"/>
      <w:sz w:val="24"/>
    </w:rPr>
  </w:style>
  <w:style w:type="paragraph" w:customStyle="1" w:styleId="Normal0">
    <w:name w:val="[Normal]"/>
    <w:basedOn w:val="Normal"/>
    <w:uiPriority w:val="99"/>
    <w:rsid w:val="00773F88"/>
    <w:pPr>
      <w:spacing w:before="240" w:after="40" w:line="240" w:lineRule="auto"/>
    </w:pPr>
    <w:rPr>
      <w:rFonts w:eastAsiaTheme="minorHAnsi" w:cstheme="minorBidi"/>
      <w:color w:val="auto"/>
      <w:spacing w:val="0"/>
      <w:szCs w:val="22"/>
      <w:lang w:eastAsia="en-US"/>
    </w:rPr>
  </w:style>
  <w:style w:type="character" w:customStyle="1" w:styleId="field">
    <w:name w:val="field"/>
    <w:basedOn w:val="DefaultParagraphFont"/>
    <w:rsid w:val="00773F88"/>
  </w:style>
  <w:style w:type="character" w:styleId="FollowedHyperlink">
    <w:name w:val="FollowedHyperlink"/>
    <w:basedOn w:val="DefaultParagraphFont"/>
    <w:uiPriority w:val="99"/>
    <w:semiHidden/>
    <w:unhideWhenUsed/>
    <w:rsid w:val="00681A92"/>
    <w:rPr>
      <w:color w:val="954F72" w:themeColor="followedHyperlink"/>
      <w:u w:val="single"/>
    </w:rPr>
  </w:style>
  <w:style w:type="character" w:styleId="Strong">
    <w:name w:val="Strong"/>
    <w:basedOn w:val="DefaultParagraphFont"/>
    <w:uiPriority w:val="22"/>
    <w:qFormat/>
    <w:rsid w:val="005B38DC"/>
    <w:rPr>
      <w:b/>
      <w:bCs/>
    </w:rPr>
  </w:style>
  <w:style w:type="character" w:styleId="Emphasis">
    <w:name w:val="Emphasis"/>
    <w:basedOn w:val="DefaultParagraphFont"/>
    <w:uiPriority w:val="20"/>
    <w:qFormat/>
    <w:rsid w:val="005B38DC"/>
    <w:rPr>
      <w:i/>
      <w:iCs/>
    </w:rPr>
  </w:style>
  <w:style w:type="character" w:customStyle="1" w:styleId="Heading3Char">
    <w:name w:val="Heading 3 Char"/>
    <w:basedOn w:val="DefaultParagraphFont"/>
    <w:link w:val="Heading3"/>
    <w:uiPriority w:val="9"/>
    <w:semiHidden/>
    <w:rsid w:val="00F31918"/>
    <w:rPr>
      <w:rFonts w:asciiTheme="majorHAnsi" w:eastAsiaTheme="majorEastAsia" w:hAnsiTheme="majorHAnsi" w:cstheme="majorBidi"/>
      <w:color w:val="1F4D78" w:themeColor="accent1" w:themeShade="7F"/>
      <w:spacing w:val="4"/>
      <w:sz w:val="24"/>
      <w:szCs w:val="24"/>
      <w:lang w:eastAsia="en-AU"/>
    </w:rPr>
  </w:style>
  <w:style w:type="paragraph" w:customStyle="1" w:styleId="paragraph">
    <w:name w:val="paragraph"/>
    <w:basedOn w:val="Normal"/>
    <w:rsid w:val="00C16D83"/>
    <w:pPr>
      <w:spacing w:before="100" w:beforeAutospacing="1" w:after="100" w:afterAutospacing="1" w:line="240" w:lineRule="auto"/>
    </w:pPr>
    <w:rPr>
      <w:rFonts w:ascii="Times New Roman" w:hAnsi="Times New Roman"/>
      <w:color w:val="auto"/>
      <w:spacing w:val="0"/>
      <w:sz w:val="24"/>
    </w:rPr>
  </w:style>
  <w:style w:type="character" w:customStyle="1" w:styleId="eop">
    <w:name w:val="eop"/>
    <w:basedOn w:val="DefaultParagraphFont"/>
    <w:rsid w:val="00C16D83"/>
  </w:style>
  <w:style w:type="character" w:customStyle="1" w:styleId="Heading2Char">
    <w:name w:val="Heading 2 Char"/>
    <w:basedOn w:val="DefaultParagraphFont"/>
    <w:link w:val="Heading2"/>
    <w:uiPriority w:val="9"/>
    <w:semiHidden/>
    <w:rsid w:val="00C16D83"/>
    <w:rPr>
      <w:rFonts w:asciiTheme="majorHAnsi" w:eastAsiaTheme="majorEastAsia" w:hAnsiTheme="majorHAnsi" w:cstheme="majorBidi"/>
      <w:color w:val="2E74B5" w:themeColor="accent1" w:themeShade="BF"/>
      <w:spacing w:val="4"/>
      <w:sz w:val="26"/>
      <w:szCs w:val="26"/>
      <w:lang w:eastAsia="en-AU"/>
    </w:rPr>
  </w:style>
  <w:style w:type="character" w:customStyle="1" w:styleId="DefaultChar">
    <w:name w:val="Default Char"/>
    <w:basedOn w:val="DefaultParagraphFont"/>
    <w:link w:val="Default"/>
    <w:locked/>
    <w:rsid w:val="00C16D83"/>
    <w:rPr>
      <w:rFonts w:ascii="Arial" w:hAnsi="Arial" w:cs="Arial"/>
      <w:color w:val="000000"/>
      <w:sz w:val="24"/>
      <w:szCs w:val="24"/>
    </w:rPr>
  </w:style>
  <w:style w:type="paragraph" w:styleId="Revision">
    <w:name w:val="Revision"/>
    <w:hidden/>
    <w:uiPriority w:val="99"/>
    <w:semiHidden/>
    <w:rsid w:val="00F60895"/>
    <w:pPr>
      <w:spacing w:after="0" w:line="240" w:lineRule="auto"/>
    </w:pPr>
    <w:rPr>
      <w:rFonts w:eastAsia="Times New Roman" w:cs="Times New Roman"/>
      <w:color w:val="000000" w:themeColor="text1"/>
      <w:spacing w:val="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62698">
      <w:bodyDiv w:val="1"/>
      <w:marLeft w:val="0"/>
      <w:marRight w:val="0"/>
      <w:marTop w:val="0"/>
      <w:marBottom w:val="0"/>
      <w:divBdr>
        <w:top w:val="none" w:sz="0" w:space="0" w:color="auto"/>
        <w:left w:val="none" w:sz="0" w:space="0" w:color="auto"/>
        <w:bottom w:val="none" w:sz="0" w:space="0" w:color="auto"/>
        <w:right w:val="none" w:sz="0" w:space="0" w:color="auto"/>
      </w:divBdr>
    </w:div>
    <w:div w:id="86118359">
      <w:bodyDiv w:val="1"/>
      <w:marLeft w:val="0"/>
      <w:marRight w:val="0"/>
      <w:marTop w:val="0"/>
      <w:marBottom w:val="0"/>
      <w:divBdr>
        <w:top w:val="none" w:sz="0" w:space="0" w:color="auto"/>
        <w:left w:val="none" w:sz="0" w:space="0" w:color="auto"/>
        <w:bottom w:val="none" w:sz="0" w:space="0" w:color="auto"/>
        <w:right w:val="none" w:sz="0" w:space="0" w:color="auto"/>
      </w:divBdr>
    </w:div>
    <w:div w:id="260260107">
      <w:bodyDiv w:val="1"/>
      <w:marLeft w:val="0"/>
      <w:marRight w:val="0"/>
      <w:marTop w:val="0"/>
      <w:marBottom w:val="0"/>
      <w:divBdr>
        <w:top w:val="none" w:sz="0" w:space="0" w:color="auto"/>
        <w:left w:val="none" w:sz="0" w:space="0" w:color="auto"/>
        <w:bottom w:val="none" w:sz="0" w:space="0" w:color="auto"/>
        <w:right w:val="none" w:sz="0" w:space="0" w:color="auto"/>
      </w:divBdr>
    </w:div>
    <w:div w:id="293223306">
      <w:bodyDiv w:val="1"/>
      <w:marLeft w:val="0"/>
      <w:marRight w:val="0"/>
      <w:marTop w:val="0"/>
      <w:marBottom w:val="0"/>
      <w:divBdr>
        <w:top w:val="none" w:sz="0" w:space="0" w:color="auto"/>
        <w:left w:val="none" w:sz="0" w:space="0" w:color="auto"/>
        <w:bottom w:val="none" w:sz="0" w:space="0" w:color="auto"/>
        <w:right w:val="none" w:sz="0" w:space="0" w:color="auto"/>
      </w:divBdr>
    </w:div>
    <w:div w:id="305934962">
      <w:bodyDiv w:val="1"/>
      <w:marLeft w:val="0"/>
      <w:marRight w:val="0"/>
      <w:marTop w:val="0"/>
      <w:marBottom w:val="0"/>
      <w:divBdr>
        <w:top w:val="none" w:sz="0" w:space="0" w:color="auto"/>
        <w:left w:val="none" w:sz="0" w:space="0" w:color="auto"/>
        <w:bottom w:val="none" w:sz="0" w:space="0" w:color="auto"/>
        <w:right w:val="none" w:sz="0" w:space="0" w:color="auto"/>
      </w:divBdr>
    </w:div>
    <w:div w:id="332925934">
      <w:bodyDiv w:val="1"/>
      <w:marLeft w:val="0"/>
      <w:marRight w:val="0"/>
      <w:marTop w:val="0"/>
      <w:marBottom w:val="0"/>
      <w:divBdr>
        <w:top w:val="none" w:sz="0" w:space="0" w:color="auto"/>
        <w:left w:val="none" w:sz="0" w:space="0" w:color="auto"/>
        <w:bottom w:val="none" w:sz="0" w:space="0" w:color="auto"/>
        <w:right w:val="none" w:sz="0" w:space="0" w:color="auto"/>
      </w:divBdr>
    </w:div>
    <w:div w:id="366491188">
      <w:bodyDiv w:val="1"/>
      <w:marLeft w:val="0"/>
      <w:marRight w:val="0"/>
      <w:marTop w:val="0"/>
      <w:marBottom w:val="0"/>
      <w:divBdr>
        <w:top w:val="none" w:sz="0" w:space="0" w:color="auto"/>
        <w:left w:val="none" w:sz="0" w:space="0" w:color="auto"/>
        <w:bottom w:val="none" w:sz="0" w:space="0" w:color="auto"/>
        <w:right w:val="none" w:sz="0" w:space="0" w:color="auto"/>
      </w:divBdr>
    </w:div>
    <w:div w:id="520166221">
      <w:bodyDiv w:val="1"/>
      <w:marLeft w:val="0"/>
      <w:marRight w:val="0"/>
      <w:marTop w:val="0"/>
      <w:marBottom w:val="0"/>
      <w:divBdr>
        <w:top w:val="none" w:sz="0" w:space="0" w:color="auto"/>
        <w:left w:val="none" w:sz="0" w:space="0" w:color="auto"/>
        <w:bottom w:val="none" w:sz="0" w:space="0" w:color="auto"/>
        <w:right w:val="none" w:sz="0" w:space="0" w:color="auto"/>
      </w:divBdr>
    </w:div>
    <w:div w:id="572279759">
      <w:bodyDiv w:val="1"/>
      <w:marLeft w:val="0"/>
      <w:marRight w:val="0"/>
      <w:marTop w:val="0"/>
      <w:marBottom w:val="0"/>
      <w:divBdr>
        <w:top w:val="none" w:sz="0" w:space="0" w:color="auto"/>
        <w:left w:val="none" w:sz="0" w:space="0" w:color="auto"/>
        <w:bottom w:val="none" w:sz="0" w:space="0" w:color="auto"/>
        <w:right w:val="none" w:sz="0" w:space="0" w:color="auto"/>
      </w:divBdr>
    </w:div>
    <w:div w:id="642271868">
      <w:bodyDiv w:val="1"/>
      <w:marLeft w:val="0"/>
      <w:marRight w:val="0"/>
      <w:marTop w:val="0"/>
      <w:marBottom w:val="0"/>
      <w:divBdr>
        <w:top w:val="none" w:sz="0" w:space="0" w:color="auto"/>
        <w:left w:val="none" w:sz="0" w:space="0" w:color="auto"/>
        <w:bottom w:val="none" w:sz="0" w:space="0" w:color="auto"/>
        <w:right w:val="none" w:sz="0" w:space="0" w:color="auto"/>
      </w:divBdr>
    </w:div>
    <w:div w:id="755370711">
      <w:bodyDiv w:val="1"/>
      <w:marLeft w:val="0"/>
      <w:marRight w:val="0"/>
      <w:marTop w:val="0"/>
      <w:marBottom w:val="0"/>
      <w:divBdr>
        <w:top w:val="none" w:sz="0" w:space="0" w:color="auto"/>
        <w:left w:val="none" w:sz="0" w:space="0" w:color="auto"/>
        <w:bottom w:val="none" w:sz="0" w:space="0" w:color="auto"/>
        <w:right w:val="none" w:sz="0" w:space="0" w:color="auto"/>
      </w:divBdr>
    </w:div>
    <w:div w:id="844324660">
      <w:bodyDiv w:val="1"/>
      <w:marLeft w:val="0"/>
      <w:marRight w:val="0"/>
      <w:marTop w:val="0"/>
      <w:marBottom w:val="0"/>
      <w:divBdr>
        <w:top w:val="none" w:sz="0" w:space="0" w:color="auto"/>
        <w:left w:val="none" w:sz="0" w:space="0" w:color="auto"/>
        <w:bottom w:val="none" w:sz="0" w:space="0" w:color="auto"/>
        <w:right w:val="none" w:sz="0" w:space="0" w:color="auto"/>
      </w:divBdr>
    </w:div>
    <w:div w:id="887885464">
      <w:bodyDiv w:val="1"/>
      <w:marLeft w:val="0"/>
      <w:marRight w:val="0"/>
      <w:marTop w:val="0"/>
      <w:marBottom w:val="0"/>
      <w:divBdr>
        <w:top w:val="none" w:sz="0" w:space="0" w:color="auto"/>
        <w:left w:val="none" w:sz="0" w:space="0" w:color="auto"/>
        <w:bottom w:val="none" w:sz="0" w:space="0" w:color="auto"/>
        <w:right w:val="none" w:sz="0" w:space="0" w:color="auto"/>
      </w:divBdr>
    </w:div>
    <w:div w:id="891576551">
      <w:bodyDiv w:val="1"/>
      <w:marLeft w:val="0"/>
      <w:marRight w:val="0"/>
      <w:marTop w:val="0"/>
      <w:marBottom w:val="0"/>
      <w:divBdr>
        <w:top w:val="none" w:sz="0" w:space="0" w:color="auto"/>
        <w:left w:val="none" w:sz="0" w:space="0" w:color="auto"/>
        <w:bottom w:val="none" w:sz="0" w:space="0" w:color="auto"/>
        <w:right w:val="none" w:sz="0" w:space="0" w:color="auto"/>
      </w:divBdr>
    </w:div>
    <w:div w:id="898252205">
      <w:bodyDiv w:val="1"/>
      <w:marLeft w:val="0"/>
      <w:marRight w:val="0"/>
      <w:marTop w:val="0"/>
      <w:marBottom w:val="0"/>
      <w:divBdr>
        <w:top w:val="none" w:sz="0" w:space="0" w:color="auto"/>
        <w:left w:val="none" w:sz="0" w:space="0" w:color="auto"/>
        <w:bottom w:val="none" w:sz="0" w:space="0" w:color="auto"/>
        <w:right w:val="none" w:sz="0" w:space="0" w:color="auto"/>
      </w:divBdr>
    </w:div>
    <w:div w:id="945188741">
      <w:bodyDiv w:val="1"/>
      <w:marLeft w:val="0"/>
      <w:marRight w:val="0"/>
      <w:marTop w:val="0"/>
      <w:marBottom w:val="0"/>
      <w:divBdr>
        <w:top w:val="none" w:sz="0" w:space="0" w:color="auto"/>
        <w:left w:val="none" w:sz="0" w:space="0" w:color="auto"/>
        <w:bottom w:val="none" w:sz="0" w:space="0" w:color="auto"/>
        <w:right w:val="none" w:sz="0" w:space="0" w:color="auto"/>
      </w:divBdr>
    </w:div>
    <w:div w:id="966591886">
      <w:bodyDiv w:val="1"/>
      <w:marLeft w:val="0"/>
      <w:marRight w:val="0"/>
      <w:marTop w:val="0"/>
      <w:marBottom w:val="0"/>
      <w:divBdr>
        <w:top w:val="none" w:sz="0" w:space="0" w:color="auto"/>
        <w:left w:val="none" w:sz="0" w:space="0" w:color="auto"/>
        <w:bottom w:val="none" w:sz="0" w:space="0" w:color="auto"/>
        <w:right w:val="none" w:sz="0" w:space="0" w:color="auto"/>
      </w:divBdr>
      <w:divsChild>
        <w:div w:id="87238493">
          <w:marLeft w:val="0"/>
          <w:marRight w:val="0"/>
          <w:marTop w:val="0"/>
          <w:marBottom w:val="0"/>
          <w:divBdr>
            <w:top w:val="none" w:sz="0" w:space="0" w:color="auto"/>
            <w:left w:val="none" w:sz="0" w:space="0" w:color="auto"/>
            <w:bottom w:val="none" w:sz="0" w:space="0" w:color="auto"/>
            <w:right w:val="none" w:sz="0" w:space="0" w:color="auto"/>
          </w:divBdr>
          <w:divsChild>
            <w:div w:id="716004906">
              <w:marLeft w:val="0"/>
              <w:marRight w:val="0"/>
              <w:marTop w:val="0"/>
              <w:marBottom w:val="0"/>
              <w:divBdr>
                <w:top w:val="none" w:sz="0" w:space="0" w:color="auto"/>
                <w:left w:val="none" w:sz="0" w:space="0" w:color="auto"/>
                <w:bottom w:val="none" w:sz="0" w:space="0" w:color="auto"/>
                <w:right w:val="none" w:sz="0" w:space="0" w:color="auto"/>
              </w:divBdr>
              <w:divsChild>
                <w:div w:id="1631595931">
                  <w:marLeft w:val="0"/>
                  <w:marRight w:val="0"/>
                  <w:marTop w:val="0"/>
                  <w:marBottom w:val="0"/>
                  <w:divBdr>
                    <w:top w:val="none" w:sz="0" w:space="0" w:color="auto"/>
                    <w:left w:val="none" w:sz="0" w:space="0" w:color="auto"/>
                    <w:bottom w:val="none" w:sz="0" w:space="0" w:color="auto"/>
                    <w:right w:val="none" w:sz="0" w:space="0" w:color="auto"/>
                  </w:divBdr>
                  <w:divsChild>
                    <w:div w:id="745881210">
                      <w:marLeft w:val="0"/>
                      <w:marRight w:val="0"/>
                      <w:marTop w:val="0"/>
                      <w:marBottom w:val="0"/>
                      <w:divBdr>
                        <w:top w:val="none" w:sz="0" w:space="0" w:color="auto"/>
                        <w:left w:val="none" w:sz="0" w:space="0" w:color="auto"/>
                        <w:bottom w:val="none" w:sz="0" w:space="0" w:color="auto"/>
                        <w:right w:val="none" w:sz="0" w:space="0" w:color="auto"/>
                      </w:divBdr>
                      <w:divsChild>
                        <w:div w:id="1662465729">
                          <w:marLeft w:val="0"/>
                          <w:marRight w:val="0"/>
                          <w:marTop w:val="0"/>
                          <w:marBottom w:val="0"/>
                          <w:divBdr>
                            <w:top w:val="none" w:sz="0" w:space="0" w:color="auto"/>
                            <w:left w:val="none" w:sz="0" w:space="0" w:color="auto"/>
                            <w:bottom w:val="none" w:sz="0" w:space="0" w:color="auto"/>
                            <w:right w:val="none" w:sz="0" w:space="0" w:color="auto"/>
                          </w:divBdr>
                          <w:divsChild>
                            <w:div w:id="1233390602">
                              <w:marLeft w:val="0"/>
                              <w:marRight w:val="0"/>
                              <w:marTop w:val="0"/>
                              <w:marBottom w:val="0"/>
                              <w:divBdr>
                                <w:top w:val="none" w:sz="0" w:space="0" w:color="auto"/>
                                <w:left w:val="none" w:sz="0" w:space="0" w:color="auto"/>
                                <w:bottom w:val="none" w:sz="0" w:space="0" w:color="auto"/>
                                <w:right w:val="none" w:sz="0" w:space="0" w:color="auto"/>
                              </w:divBdr>
                              <w:divsChild>
                                <w:div w:id="96142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225033">
          <w:marLeft w:val="0"/>
          <w:marRight w:val="0"/>
          <w:marTop w:val="0"/>
          <w:marBottom w:val="0"/>
          <w:divBdr>
            <w:top w:val="none" w:sz="0" w:space="0" w:color="auto"/>
            <w:left w:val="none" w:sz="0" w:space="0" w:color="auto"/>
            <w:bottom w:val="none" w:sz="0" w:space="0" w:color="auto"/>
            <w:right w:val="none" w:sz="0" w:space="0" w:color="auto"/>
          </w:divBdr>
          <w:divsChild>
            <w:div w:id="452864823">
              <w:marLeft w:val="0"/>
              <w:marRight w:val="0"/>
              <w:marTop w:val="0"/>
              <w:marBottom w:val="0"/>
              <w:divBdr>
                <w:top w:val="none" w:sz="0" w:space="0" w:color="auto"/>
                <w:left w:val="none" w:sz="0" w:space="0" w:color="auto"/>
                <w:bottom w:val="none" w:sz="0" w:space="0" w:color="auto"/>
                <w:right w:val="none" w:sz="0" w:space="0" w:color="auto"/>
              </w:divBdr>
              <w:divsChild>
                <w:div w:id="867719215">
                  <w:marLeft w:val="0"/>
                  <w:marRight w:val="0"/>
                  <w:marTop w:val="0"/>
                  <w:marBottom w:val="0"/>
                  <w:divBdr>
                    <w:top w:val="none" w:sz="0" w:space="0" w:color="auto"/>
                    <w:left w:val="none" w:sz="0" w:space="0" w:color="auto"/>
                    <w:bottom w:val="none" w:sz="0" w:space="0" w:color="auto"/>
                    <w:right w:val="none" w:sz="0" w:space="0" w:color="auto"/>
                  </w:divBdr>
                  <w:divsChild>
                    <w:div w:id="871379886">
                      <w:marLeft w:val="0"/>
                      <w:marRight w:val="0"/>
                      <w:marTop w:val="0"/>
                      <w:marBottom w:val="0"/>
                      <w:divBdr>
                        <w:top w:val="none" w:sz="0" w:space="0" w:color="auto"/>
                        <w:left w:val="none" w:sz="0" w:space="0" w:color="auto"/>
                        <w:bottom w:val="none" w:sz="0" w:space="0" w:color="auto"/>
                        <w:right w:val="none" w:sz="0" w:space="0" w:color="auto"/>
                      </w:divBdr>
                      <w:divsChild>
                        <w:div w:id="1199008867">
                          <w:marLeft w:val="0"/>
                          <w:marRight w:val="0"/>
                          <w:marTop w:val="0"/>
                          <w:marBottom w:val="0"/>
                          <w:divBdr>
                            <w:top w:val="none" w:sz="0" w:space="0" w:color="auto"/>
                            <w:left w:val="none" w:sz="0" w:space="0" w:color="auto"/>
                            <w:bottom w:val="none" w:sz="0" w:space="0" w:color="auto"/>
                            <w:right w:val="none" w:sz="0" w:space="0" w:color="auto"/>
                          </w:divBdr>
                          <w:divsChild>
                            <w:div w:id="1124931027">
                              <w:marLeft w:val="0"/>
                              <w:marRight w:val="0"/>
                              <w:marTop w:val="0"/>
                              <w:marBottom w:val="0"/>
                              <w:divBdr>
                                <w:top w:val="none" w:sz="0" w:space="0" w:color="auto"/>
                                <w:left w:val="none" w:sz="0" w:space="0" w:color="auto"/>
                                <w:bottom w:val="none" w:sz="0" w:space="0" w:color="auto"/>
                                <w:right w:val="none" w:sz="0" w:space="0" w:color="auto"/>
                              </w:divBdr>
                              <w:divsChild>
                                <w:div w:id="303508021">
                                  <w:marLeft w:val="0"/>
                                  <w:marRight w:val="0"/>
                                  <w:marTop w:val="0"/>
                                  <w:marBottom w:val="0"/>
                                  <w:divBdr>
                                    <w:top w:val="none" w:sz="0" w:space="0" w:color="auto"/>
                                    <w:left w:val="none" w:sz="0" w:space="0" w:color="auto"/>
                                    <w:bottom w:val="none" w:sz="0" w:space="0" w:color="auto"/>
                                    <w:right w:val="none" w:sz="0" w:space="0" w:color="auto"/>
                                  </w:divBdr>
                                  <w:divsChild>
                                    <w:div w:id="99923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750698">
          <w:marLeft w:val="0"/>
          <w:marRight w:val="0"/>
          <w:marTop w:val="0"/>
          <w:marBottom w:val="0"/>
          <w:divBdr>
            <w:top w:val="none" w:sz="0" w:space="0" w:color="auto"/>
            <w:left w:val="none" w:sz="0" w:space="0" w:color="auto"/>
            <w:bottom w:val="none" w:sz="0" w:space="0" w:color="auto"/>
            <w:right w:val="none" w:sz="0" w:space="0" w:color="auto"/>
          </w:divBdr>
          <w:divsChild>
            <w:div w:id="2014644359">
              <w:marLeft w:val="0"/>
              <w:marRight w:val="0"/>
              <w:marTop w:val="0"/>
              <w:marBottom w:val="0"/>
              <w:divBdr>
                <w:top w:val="none" w:sz="0" w:space="0" w:color="auto"/>
                <w:left w:val="none" w:sz="0" w:space="0" w:color="auto"/>
                <w:bottom w:val="none" w:sz="0" w:space="0" w:color="auto"/>
                <w:right w:val="none" w:sz="0" w:space="0" w:color="auto"/>
              </w:divBdr>
              <w:divsChild>
                <w:div w:id="1038554563">
                  <w:marLeft w:val="0"/>
                  <w:marRight w:val="0"/>
                  <w:marTop w:val="0"/>
                  <w:marBottom w:val="0"/>
                  <w:divBdr>
                    <w:top w:val="none" w:sz="0" w:space="0" w:color="auto"/>
                    <w:left w:val="none" w:sz="0" w:space="0" w:color="auto"/>
                    <w:bottom w:val="none" w:sz="0" w:space="0" w:color="auto"/>
                    <w:right w:val="none" w:sz="0" w:space="0" w:color="auto"/>
                  </w:divBdr>
                  <w:divsChild>
                    <w:div w:id="1275088890">
                      <w:marLeft w:val="0"/>
                      <w:marRight w:val="0"/>
                      <w:marTop w:val="0"/>
                      <w:marBottom w:val="0"/>
                      <w:divBdr>
                        <w:top w:val="none" w:sz="0" w:space="0" w:color="auto"/>
                        <w:left w:val="none" w:sz="0" w:space="0" w:color="auto"/>
                        <w:bottom w:val="none" w:sz="0" w:space="0" w:color="auto"/>
                        <w:right w:val="none" w:sz="0" w:space="0" w:color="auto"/>
                      </w:divBdr>
                      <w:divsChild>
                        <w:div w:id="992177712">
                          <w:marLeft w:val="0"/>
                          <w:marRight w:val="0"/>
                          <w:marTop w:val="0"/>
                          <w:marBottom w:val="0"/>
                          <w:divBdr>
                            <w:top w:val="none" w:sz="0" w:space="0" w:color="auto"/>
                            <w:left w:val="none" w:sz="0" w:space="0" w:color="auto"/>
                            <w:bottom w:val="none" w:sz="0" w:space="0" w:color="auto"/>
                            <w:right w:val="none" w:sz="0" w:space="0" w:color="auto"/>
                          </w:divBdr>
                          <w:divsChild>
                            <w:div w:id="469177954">
                              <w:marLeft w:val="0"/>
                              <w:marRight w:val="0"/>
                              <w:marTop w:val="0"/>
                              <w:marBottom w:val="0"/>
                              <w:divBdr>
                                <w:top w:val="none" w:sz="0" w:space="0" w:color="auto"/>
                                <w:left w:val="none" w:sz="0" w:space="0" w:color="auto"/>
                                <w:bottom w:val="none" w:sz="0" w:space="0" w:color="auto"/>
                                <w:right w:val="none" w:sz="0" w:space="0" w:color="auto"/>
                              </w:divBdr>
                              <w:divsChild>
                                <w:div w:id="10563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2128182">
      <w:bodyDiv w:val="1"/>
      <w:marLeft w:val="0"/>
      <w:marRight w:val="0"/>
      <w:marTop w:val="0"/>
      <w:marBottom w:val="0"/>
      <w:divBdr>
        <w:top w:val="none" w:sz="0" w:space="0" w:color="auto"/>
        <w:left w:val="none" w:sz="0" w:space="0" w:color="auto"/>
        <w:bottom w:val="none" w:sz="0" w:space="0" w:color="auto"/>
        <w:right w:val="none" w:sz="0" w:space="0" w:color="auto"/>
      </w:divBdr>
    </w:div>
    <w:div w:id="1242720906">
      <w:bodyDiv w:val="1"/>
      <w:marLeft w:val="0"/>
      <w:marRight w:val="0"/>
      <w:marTop w:val="0"/>
      <w:marBottom w:val="0"/>
      <w:divBdr>
        <w:top w:val="none" w:sz="0" w:space="0" w:color="auto"/>
        <w:left w:val="none" w:sz="0" w:space="0" w:color="auto"/>
        <w:bottom w:val="none" w:sz="0" w:space="0" w:color="auto"/>
        <w:right w:val="none" w:sz="0" w:space="0" w:color="auto"/>
      </w:divBdr>
    </w:div>
    <w:div w:id="1374503553">
      <w:bodyDiv w:val="1"/>
      <w:marLeft w:val="0"/>
      <w:marRight w:val="0"/>
      <w:marTop w:val="0"/>
      <w:marBottom w:val="0"/>
      <w:divBdr>
        <w:top w:val="none" w:sz="0" w:space="0" w:color="auto"/>
        <w:left w:val="none" w:sz="0" w:space="0" w:color="auto"/>
        <w:bottom w:val="none" w:sz="0" w:space="0" w:color="auto"/>
        <w:right w:val="none" w:sz="0" w:space="0" w:color="auto"/>
      </w:divBdr>
    </w:div>
    <w:div w:id="1609655716">
      <w:bodyDiv w:val="1"/>
      <w:marLeft w:val="0"/>
      <w:marRight w:val="0"/>
      <w:marTop w:val="0"/>
      <w:marBottom w:val="0"/>
      <w:divBdr>
        <w:top w:val="none" w:sz="0" w:space="0" w:color="auto"/>
        <w:left w:val="none" w:sz="0" w:space="0" w:color="auto"/>
        <w:bottom w:val="none" w:sz="0" w:space="0" w:color="auto"/>
        <w:right w:val="none" w:sz="0" w:space="0" w:color="auto"/>
      </w:divBdr>
    </w:div>
    <w:div w:id="1634477756">
      <w:bodyDiv w:val="1"/>
      <w:marLeft w:val="0"/>
      <w:marRight w:val="0"/>
      <w:marTop w:val="0"/>
      <w:marBottom w:val="0"/>
      <w:divBdr>
        <w:top w:val="none" w:sz="0" w:space="0" w:color="auto"/>
        <w:left w:val="none" w:sz="0" w:space="0" w:color="auto"/>
        <w:bottom w:val="none" w:sz="0" w:space="0" w:color="auto"/>
        <w:right w:val="none" w:sz="0" w:space="0" w:color="auto"/>
      </w:divBdr>
    </w:div>
    <w:div w:id="1636526629">
      <w:bodyDiv w:val="1"/>
      <w:marLeft w:val="0"/>
      <w:marRight w:val="0"/>
      <w:marTop w:val="0"/>
      <w:marBottom w:val="0"/>
      <w:divBdr>
        <w:top w:val="none" w:sz="0" w:space="0" w:color="auto"/>
        <w:left w:val="none" w:sz="0" w:space="0" w:color="auto"/>
        <w:bottom w:val="none" w:sz="0" w:space="0" w:color="auto"/>
        <w:right w:val="none" w:sz="0" w:space="0" w:color="auto"/>
      </w:divBdr>
    </w:div>
    <w:div w:id="1700545381">
      <w:bodyDiv w:val="1"/>
      <w:marLeft w:val="0"/>
      <w:marRight w:val="0"/>
      <w:marTop w:val="0"/>
      <w:marBottom w:val="0"/>
      <w:divBdr>
        <w:top w:val="none" w:sz="0" w:space="0" w:color="auto"/>
        <w:left w:val="none" w:sz="0" w:space="0" w:color="auto"/>
        <w:bottom w:val="none" w:sz="0" w:space="0" w:color="auto"/>
        <w:right w:val="none" w:sz="0" w:space="0" w:color="auto"/>
      </w:divBdr>
      <w:divsChild>
        <w:div w:id="950623180">
          <w:marLeft w:val="0"/>
          <w:marRight w:val="0"/>
          <w:marTop w:val="0"/>
          <w:marBottom w:val="0"/>
          <w:divBdr>
            <w:top w:val="none" w:sz="0" w:space="0" w:color="auto"/>
            <w:left w:val="none" w:sz="0" w:space="0" w:color="auto"/>
            <w:bottom w:val="none" w:sz="0" w:space="0" w:color="auto"/>
            <w:right w:val="none" w:sz="0" w:space="0" w:color="auto"/>
          </w:divBdr>
          <w:divsChild>
            <w:div w:id="1061827916">
              <w:marLeft w:val="0"/>
              <w:marRight w:val="0"/>
              <w:marTop w:val="0"/>
              <w:marBottom w:val="0"/>
              <w:divBdr>
                <w:top w:val="none" w:sz="0" w:space="0" w:color="auto"/>
                <w:left w:val="none" w:sz="0" w:space="0" w:color="auto"/>
                <w:bottom w:val="none" w:sz="0" w:space="0" w:color="auto"/>
                <w:right w:val="none" w:sz="0" w:space="0" w:color="auto"/>
              </w:divBdr>
              <w:divsChild>
                <w:div w:id="1073310936">
                  <w:marLeft w:val="0"/>
                  <w:marRight w:val="0"/>
                  <w:marTop w:val="0"/>
                  <w:marBottom w:val="0"/>
                  <w:divBdr>
                    <w:top w:val="none" w:sz="0" w:space="0" w:color="auto"/>
                    <w:left w:val="none" w:sz="0" w:space="0" w:color="auto"/>
                    <w:bottom w:val="none" w:sz="0" w:space="0" w:color="auto"/>
                    <w:right w:val="none" w:sz="0" w:space="0" w:color="auto"/>
                  </w:divBdr>
                  <w:divsChild>
                    <w:div w:id="540946303">
                      <w:marLeft w:val="0"/>
                      <w:marRight w:val="0"/>
                      <w:marTop w:val="0"/>
                      <w:marBottom w:val="0"/>
                      <w:divBdr>
                        <w:top w:val="none" w:sz="0" w:space="0" w:color="auto"/>
                        <w:left w:val="none" w:sz="0" w:space="0" w:color="auto"/>
                        <w:bottom w:val="none" w:sz="0" w:space="0" w:color="auto"/>
                        <w:right w:val="none" w:sz="0" w:space="0" w:color="auto"/>
                      </w:divBdr>
                      <w:divsChild>
                        <w:div w:id="1384214740">
                          <w:marLeft w:val="0"/>
                          <w:marRight w:val="0"/>
                          <w:marTop w:val="0"/>
                          <w:marBottom w:val="0"/>
                          <w:divBdr>
                            <w:top w:val="none" w:sz="0" w:space="0" w:color="auto"/>
                            <w:left w:val="none" w:sz="0" w:space="0" w:color="auto"/>
                            <w:bottom w:val="none" w:sz="0" w:space="0" w:color="auto"/>
                            <w:right w:val="none" w:sz="0" w:space="0" w:color="auto"/>
                          </w:divBdr>
                          <w:divsChild>
                            <w:div w:id="812671866">
                              <w:marLeft w:val="0"/>
                              <w:marRight w:val="0"/>
                              <w:marTop w:val="0"/>
                              <w:marBottom w:val="0"/>
                              <w:divBdr>
                                <w:top w:val="none" w:sz="0" w:space="0" w:color="auto"/>
                                <w:left w:val="none" w:sz="0" w:space="0" w:color="auto"/>
                                <w:bottom w:val="none" w:sz="0" w:space="0" w:color="auto"/>
                                <w:right w:val="none" w:sz="0" w:space="0" w:color="auto"/>
                              </w:divBdr>
                              <w:divsChild>
                                <w:div w:id="121689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331067">
          <w:marLeft w:val="0"/>
          <w:marRight w:val="0"/>
          <w:marTop w:val="0"/>
          <w:marBottom w:val="0"/>
          <w:divBdr>
            <w:top w:val="none" w:sz="0" w:space="0" w:color="auto"/>
            <w:left w:val="none" w:sz="0" w:space="0" w:color="auto"/>
            <w:bottom w:val="none" w:sz="0" w:space="0" w:color="auto"/>
            <w:right w:val="none" w:sz="0" w:space="0" w:color="auto"/>
          </w:divBdr>
          <w:divsChild>
            <w:div w:id="1859588230">
              <w:marLeft w:val="0"/>
              <w:marRight w:val="0"/>
              <w:marTop w:val="0"/>
              <w:marBottom w:val="0"/>
              <w:divBdr>
                <w:top w:val="none" w:sz="0" w:space="0" w:color="auto"/>
                <w:left w:val="none" w:sz="0" w:space="0" w:color="auto"/>
                <w:bottom w:val="none" w:sz="0" w:space="0" w:color="auto"/>
                <w:right w:val="none" w:sz="0" w:space="0" w:color="auto"/>
              </w:divBdr>
              <w:divsChild>
                <w:div w:id="209536701">
                  <w:marLeft w:val="0"/>
                  <w:marRight w:val="0"/>
                  <w:marTop w:val="0"/>
                  <w:marBottom w:val="0"/>
                  <w:divBdr>
                    <w:top w:val="none" w:sz="0" w:space="0" w:color="auto"/>
                    <w:left w:val="none" w:sz="0" w:space="0" w:color="auto"/>
                    <w:bottom w:val="none" w:sz="0" w:space="0" w:color="auto"/>
                    <w:right w:val="none" w:sz="0" w:space="0" w:color="auto"/>
                  </w:divBdr>
                  <w:divsChild>
                    <w:div w:id="56445140">
                      <w:marLeft w:val="0"/>
                      <w:marRight w:val="0"/>
                      <w:marTop w:val="0"/>
                      <w:marBottom w:val="0"/>
                      <w:divBdr>
                        <w:top w:val="none" w:sz="0" w:space="0" w:color="auto"/>
                        <w:left w:val="none" w:sz="0" w:space="0" w:color="auto"/>
                        <w:bottom w:val="none" w:sz="0" w:space="0" w:color="auto"/>
                        <w:right w:val="none" w:sz="0" w:space="0" w:color="auto"/>
                      </w:divBdr>
                      <w:divsChild>
                        <w:div w:id="128716117">
                          <w:marLeft w:val="0"/>
                          <w:marRight w:val="0"/>
                          <w:marTop w:val="0"/>
                          <w:marBottom w:val="0"/>
                          <w:divBdr>
                            <w:top w:val="none" w:sz="0" w:space="0" w:color="auto"/>
                            <w:left w:val="none" w:sz="0" w:space="0" w:color="auto"/>
                            <w:bottom w:val="none" w:sz="0" w:space="0" w:color="auto"/>
                            <w:right w:val="none" w:sz="0" w:space="0" w:color="auto"/>
                          </w:divBdr>
                          <w:divsChild>
                            <w:div w:id="835340073">
                              <w:marLeft w:val="0"/>
                              <w:marRight w:val="0"/>
                              <w:marTop w:val="0"/>
                              <w:marBottom w:val="0"/>
                              <w:divBdr>
                                <w:top w:val="none" w:sz="0" w:space="0" w:color="auto"/>
                                <w:left w:val="none" w:sz="0" w:space="0" w:color="auto"/>
                                <w:bottom w:val="none" w:sz="0" w:space="0" w:color="auto"/>
                                <w:right w:val="none" w:sz="0" w:space="0" w:color="auto"/>
                              </w:divBdr>
                              <w:divsChild>
                                <w:div w:id="1395009430">
                                  <w:marLeft w:val="0"/>
                                  <w:marRight w:val="0"/>
                                  <w:marTop w:val="0"/>
                                  <w:marBottom w:val="0"/>
                                  <w:divBdr>
                                    <w:top w:val="none" w:sz="0" w:space="0" w:color="auto"/>
                                    <w:left w:val="none" w:sz="0" w:space="0" w:color="auto"/>
                                    <w:bottom w:val="none" w:sz="0" w:space="0" w:color="auto"/>
                                    <w:right w:val="none" w:sz="0" w:space="0" w:color="auto"/>
                                  </w:divBdr>
                                  <w:divsChild>
                                    <w:div w:id="85538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023205">
          <w:marLeft w:val="0"/>
          <w:marRight w:val="0"/>
          <w:marTop w:val="0"/>
          <w:marBottom w:val="0"/>
          <w:divBdr>
            <w:top w:val="none" w:sz="0" w:space="0" w:color="auto"/>
            <w:left w:val="none" w:sz="0" w:space="0" w:color="auto"/>
            <w:bottom w:val="none" w:sz="0" w:space="0" w:color="auto"/>
            <w:right w:val="none" w:sz="0" w:space="0" w:color="auto"/>
          </w:divBdr>
          <w:divsChild>
            <w:div w:id="95829991">
              <w:marLeft w:val="0"/>
              <w:marRight w:val="0"/>
              <w:marTop w:val="0"/>
              <w:marBottom w:val="0"/>
              <w:divBdr>
                <w:top w:val="none" w:sz="0" w:space="0" w:color="auto"/>
                <w:left w:val="none" w:sz="0" w:space="0" w:color="auto"/>
                <w:bottom w:val="none" w:sz="0" w:space="0" w:color="auto"/>
                <w:right w:val="none" w:sz="0" w:space="0" w:color="auto"/>
              </w:divBdr>
              <w:divsChild>
                <w:div w:id="1802839897">
                  <w:marLeft w:val="0"/>
                  <w:marRight w:val="0"/>
                  <w:marTop w:val="0"/>
                  <w:marBottom w:val="0"/>
                  <w:divBdr>
                    <w:top w:val="none" w:sz="0" w:space="0" w:color="auto"/>
                    <w:left w:val="none" w:sz="0" w:space="0" w:color="auto"/>
                    <w:bottom w:val="none" w:sz="0" w:space="0" w:color="auto"/>
                    <w:right w:val="none" w:sz="0" w:space="0" w:color="auto"/>
                  </w:divBdr>
                  <w:divsChild>
                    <w:div w:id="290332780">
                      <w:marLeft w:val="0"/>
                      <w:marRight w:val="0"/>
                      <w:marTop w:val="0"/>
                      <w:marBottom w:val="0"/>
                      <w:divBdr>
                        <w:top w:val="none" w:sz="0" w:space="0" w:color="auto"/>
                        <w:left w:val="none" w:sz="0" w:space="0" w:color="auto"/>
                        <w:bottom w:val="none" w:sz="0" w:space="0" w:color="auto"/>
                        <w:right w:val="none" w:sz="0" w:space="0" w:color="auto"/>
                      </w:divBdr>
                      <w:divsChild>
                        <w:div w:id="1982612729">
                          <w:marLeft w:val="0"/>
                          <w:marRight w:val="0"/>
                          <w:marTop w:val="0"/>
                          <w:marBottom w:val="0"/>
                          <w:divBdr>
                            <w:top w:val="none" w:sz="0" w:space="0" w:color="auto"/>
                            <w:left w:val="none" w:sz="0" w:space="0" w:color="auto"/>
                            <w:bottom w:val="none" w:sz="0" w:space="0" w:color="auto"/>
                            <w:right w:val="none" w:sz="0" w:space="0" w:color="auto"/>
                          </w:divBdr>
                          <w:divsChild>
                            <w:div w:id="1170605817">
                              <w:marLeft w:val="0"/>
                              <w:marRight w:val="0"/>
                              <w:marTop w:val="0"/>
                              <w:marBottom w:val="0"/>
                              <w:divBdr>
                                <w:top w:val="none" w:sz="0" w:space="0" w:color="auto"/>
                                <w:left w:val="none" w:sz="0" w:space="0" w:color="auto"/>
                                <w:bottom w:val="none" w:sz="0" w:space="0" w:color="auto"/>
                                <w:right w:val="none" w:sz="0" w:space="0" w:color="auto"/>
                              </w:divBdr>
                              <w:divsChild>
                                <w:div w:id="123574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586935">
      <w:bodyDiv w:val="1"/>
      <w:marLeft w:val="0"/>
      <w:marRight w:val="0"/>
      <w:marTop w:val="0"/>
      <w:marBottom w:val="0"/>
      <w:divBdr>
        <w:top w:val="none" w:sz="0" w:space="0" w:color="auto"/>
        <w:left w:val="none" w:sz="0" w:space="0" w:color="auto"/>
        <w:bottom w:val="none" w:sz="0" w:space="0" w:color="auto"/>
        <w:right w:val="none" w:sz="0" w:space="0" w:color="auto"/>
      </w:divBdr>
    </w:div>
    <w:div w:id="1989019196">
      <w:bodyDiv w:val="1"/>
      <w:marLeft w:val="0"/>
      <w:marRight w:val="0"/>
      <w:marTop w:val="0"/>
      <w:marBottom w:val="0"/>
      <w:divBdr>
        <w:top w:val="none" w:sz="0" w:space="0" w:color="auto"/>
        <w:left w:val="none" w:sz="0" w:space="0" w:color="auto"/>
        <w:bottom w:val="none" w:sz="0" w:space="0" w:color="auto"/>
        <w:right w:val="none" w:sz="0" w:space="0" w:color="auto"/>
      </w:divBdr>
    </w:div>
    <w:div w:id="1996451106">
      <w:bodyDiv w:val="1"/>
      <w:marLeft w:val="0"/>
      <w:marRight w:val="0"/>
      <w:marTop w:val="0"/>
      <w:marBottom w:val="0"/>
      <w:divBdr>
        <w:top w:val="none" w:sz="0" w:space="0" w:color="auto"/>
        <w:left w:val="none" w:sz="0" w:space="0" w:color="auto"/>
        <w:bottom w:val="none" w:sz="0" w:space="0" w:color="auto"/>
        <w:right w:val="none" w:sz="0" w:space="0" w:color="auto"/>
      </w:divBdr>
    </w:div>
    <w:div w:id="2126652751">
      <w:bodyDiv w:val="1"/>
      <w:marLeft w:val="0"/>
      <w:marRight w:val="0"/>
      <w:marTop w:val="0"/>
      <w:marBottom w:val="0"/>
      <w:divBdr>
        <w:top w:val="none" w:sz="0" w:space="0" w:color="auto"/>
        <w:left w:val="none" w:sz="0" w:space="0" w:color="auto"/>
        <w:bottom w:val="none" w:sz="0" w:space="0" w:color="auto"/>
        <w:right w:val="none" w:sz="0" w:space="0" w:color="auto"/>
      </w:divBdr>
    </w:div>
    <w:div w:id="2128236763">
      <w:bodyDiv w:val="1"/>
      <w:marLeft w:val="0"/>
      <w:marRight w:val="0"/>
      <w:marTop w:val="0"/>
      <w:marBottom w:val="0"/>
      <w:divBdr>
        <w:top w:val="none" w:sz="0" w:space="0" w:color="auto"/>
        <w:left w:val="none" w:sz="0" w:space="0" w:color="auto"/>
        <w:bottom w:val="none" w:sz="0" w:space="0" w:color="auto"/>
        <w:right w:val="none" w:sz="0" w:space="0" w:color="auto"/>
      </w:divBdr>
    </w:div>
    <w:div w:id="214638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ph.gov.au/Parliamentary_Business/Committees/House/Employment_Education_and_Training/School_to_WorkTransition/Report" TargetMode="External"/><Relationship Id="rId18" Type="http://schemas.openxmlformats.org/officeDocument/2006/relationships/hyperlink" Target="https://www.pc.gov.au/inquiries/completed/disability-support/report" TargetMode="External"/><Relationship Id="rId26" Type="http://schemas.openxmlformats.org/officeDocument/2006/relationships/hyperlink" Target="https://www.voced.edu.au/content/ngv%3A43108" TargetMode="External"/><Relationship Id="rId39" Type="http://schemas.openxmlformats.org/officeDocument/2006/relationships/hyperlink" Target="https://tickettowork.org.au/media/download_resources/word/A_Rapid_Review.pdf" TargetMode="External"/><Relationship Id="rId21" Type="http://schemas.openxmlformats.org/officeDocument/2006/relationships/hyperlink" Target="http://www.daru.org.au/wp/wp-content/uploads/2013/06/A-Stronger-Fairer-Australia_PDF.pdf" TargetMode="External"/><Relationship Id="rId34" Type="http://schemas.openxmlformats.org/officeDocument/2006/relationships/hyperlink" Target="https://tickettowork.org.au/media/submissions_researches_buttons/Ticket_to_Work-The_After_School_Jobs_project.pdf" TargetMode="External"/><Relationship Id="rId42"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ndis.gov.au/about-us/strategies/participant-employment-strategy" TargetMode="External"/><Relationship Id="rId29" Type="http://schemas.openxmlformats.org/officeDocument/2006/relationships/hyperlink" Target="mailto:michelle@tickettowork.org.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ss.gov.au/disability-and-carers-programs-services-disability-employment-services/mid-term-review-of-the-disability-employment-services-des-program" TargetMode="External"/><Relationship Id="rId24" Type="http://schemas.openxmlformats.org/officeDocument/2006/relationships/hyperlink" Target="https://www.dss.gov.au/our-responsibilities/disability-and-carers/publications-articles/policy-research/shut-out-the-experience-of-people-with-disabilities-and-their-families-in-australia" TargetMode="External"/><Relationship Id="rId32" Type="http://schemas.openxmlformats.org/officeDocument/2006/relationships/hyperlink" Target="https://tickettowork.org.au/media/download_resources/word/Ticket_to_Work_valuation_of_key_outcomes_2021_kZJsjSS.pdf" TargetMode="External"/><Relationship Id="rId37" Type="http://schemas.openxmlformats.org/officeDocument/2006/relationships/hyperlink" Target="https://tickettowork.org.au/media/submissions_researches_buttons/Collaboration-the-key-to-unlocking-a-successful-future-for-_4.pdf" TargetMode="External"/><Relationship Id="rId40" Type="http://schemas.openxmlformats.org/officeDocument/2006/relationships/hyperlink" Target="https://tickettowork.org.au/"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humanrights.gov.au/about/news/willing-work-national-report-released" TargetMode="External"/><Relationship Id="rId23" Type="http://schemas.openxmlformats.org/officeDocument/2006/relationships/hyperlink" Target="https://www.dss.gov.au/our-responsibilities/disability-and-carers/program-services/government-international/national-disability-strategy-2010-2020-report-to-coag-2012" TargetMode="External"/><Relationship Id="rId28" Type="http://schemas.openxmlformats.org/officeDocument/2006/relationships/hyperlink" Target="mailto:Kerrie.langford@nds.org.au" TargetMode="External"/><Relationship Id="rId36" Type="http://schemas.openxmlformats.org/officeDocument/2006/relationships/hyperlink" Target="https://tickettowork.org.au/media/submissions_researches_buttons/Parent_engagement_in_school_to_work_transition_for_their__Q2fDoxd.pdf" TargetMode="External"/><Relationship Id="rId10" Type="http://schemas.openxmlformats.org/officeDocument/2006/relationships/endnotes" Target="endnotes.xml"/><Relationship Id="rId19" Type="http://schemas.openxmlformats.org/officeDocument/2006/relationships/hyperlink" Target="https://www.dss.gov.au/sites/default/files/documents/02_2015/dss001_14_final_report_access_2.pdf" TargetMode="External"/><Relationship Id="rId31" Type="http://schemas.openxmlformats.org/officeDocument/2006/relationships/hyperlink" Target="https://tickettowork.org.au/research/" TargetMode="External"/><Relationship Id="rId44"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ss.gov.au/disability-and-carers/programs-services/government-international/national-disability-strategy-second-implementation-plan" TargetMode="External"/><Relationship Id="rId22" Type="http://schemas.openxmlformats.org/officeDocument/2006/relationships/hyperlink" Target="https://humanrights.gov.au/sites/default/files/Workability%20II%20-%20Solutions%202005_1.pdf?_ga=2.24895679.428340340.1620610831-434916592.1614837821" TargetMode="External"/><Relationship Id="rId27" Type="http://schemas.openxmlformats.org/officeDocument/2006/relationships/hyperlink" Target="https://www.voced.edu.au/content/ngv%3A63149" TargetMode="External"/><Relationship Id="rId30" Type="http://schemas.openxmlformats.org/officeDocument/2006/relationships/image" Target="media/image1.png"/><Relationship Id="rId35" Type="http://schemas.openxmlformats.org/officeDocument/2006/relationships/hyperlink" Target="https://tickettowork.org.au/media/submissions_researches_buttons/The_employer_experience_hiring_young_people_with_intellectual.pdf" TargetMode="External"/><Relationship Id="rId43"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uploadstorage.blob.core.windows.net/public-assets/education-au/pathways/Final%20report%20-%2018%20June.pdf" TargetMode="External"/><Relationship Id="rId17" Type="http://schemas.openxmlformats.org/officeDocument/2006/relationships/hyperlink" Target="https://engage.dss.gov.au/wp-content/uploads/2015/05/issues_paper.pdf" TargetMode="External"/><Relationship Id="rId25" Type="http://schemas.openxmlformats.org/officeDocument/2006/relationships/hyperlink" Target="https://www.mhvic.org.au/images/PDF/Resources_and_links/National-Mental-Health---Disability-Ermployment-Strategy.pdf" TargetMode="External"/><Relationship Id="rId33" Type="http://schemas.openxmlformats.org/officeDocument/2006/relationships/hyperlink" Target="https://tickettowork.org.au/media/download_resources/word/Ticket_to_Work_valuation_of_key_outcomes_Infographic.pdf" TargetMode="External"/><Relationship Id="rId38" Type="http://schemas.openxmlformats.org/officeDocument/2006/relationships/hyperlink" Target="https://tickettowork.org.au/media/submissions_researches_buttons/Ticket_To_Work_network_anaylsis_survey.pdf" TargetMode="External"/><Relationship Id="rId46" Type="http://schemas.openxmlformats.org/officeDocument/2006/relationships/theme" Target="theme/theme1.xml"/><Relationship Id="rId20" Type="http://schemas.openxmlformats.org/officeDocument/2006/relationships/hyperlink" Target="https://www.dese.gov.au/disability-standards-education-2005/resources/final-report-2020-review-disability-standards-education-2005" TargetMode="External"/><Relationship Id="rId41"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disability.royalcommission.gov.au/system/files/exhibit/EXP.0062.0001.0022.pdf" TargetMode="External"/><Relationship Id="rId3" Type="http://schemas.openxmlformats.org/officeDocument/2006/relationships/hyperlink" Target="https://www.aihw.gov.au/getmedia/419adf38-dc20-4e73-b17d-a2af1fd505a6/AW15-4-8-Vulnerable-young-people-aged-15-24.pdf.aspx" TargetMode="External"/><Relationship Id="rId7" Type="http://schemas.openxmlformats.org/officeDocument/2006/relationships/hyperlink" Target="https://engage.dss.gov.au/wp-content/uploads/2021/05/FINAL_CYDA-submission-to-the-National-Disability-Employment-Strategy_May2021.pdf" TargetMode="External"/><Relationship Id="rId2" Type="http://schemas.openxmlformats.org/officeDocument/2006/relationships/hyperlink" Target="https://www.aihw.gov.au/getmedia/7005c061-1c6e-490c-90c2-f2dd2773eb89/aihw-dis-77.pdf.aspx?inline=true" TargetMode="External"/><Relationship Id="rId1" Type="http://schemas.openxmlformats.org/officeDocument/2006/relationships/hyperlink" Target="https://tickettowork.org.au/media/download_resources/word/7._Transitions_to_Employment_of_Australian_Young_People_with_Dis_HSiO079.pdf" TargetMode="External"/><Relationship Id="rId6" Type="http://schemas.openxmlformats.org/officeDocument/2006/relationships/hyperlink" Target="https://www.cyda.org.au/resources/details/85/post-school-transition-the-experiences-of-students-with-disability" TargetMode="External"/><Relationship Id="rId11" Type="http://schemas.openxmlformats.org/officeDocument/2006/relationships/hyperlink" Target="https://tickettowork.org.au/media/download_resources/word/A_Rapid_Review.pdf" TargetMode="External"/><Relationship Id="rId5" Type="http://schemas.openxmlformats.org/officeDocument/2006/relationships/hyperlink" Target="https://www.aihw.gov.au/getmedia/419adf38-dc20-4e73-b17d-a2af1fd505a6/AW15-4-8-Vulnerable-young-people-aged-15-24.pdf.aspx" TargetMode="External"/><Relationship Id="rId10" Type="http://schemas.openxmlformats.org/officeDocument/2006/relationships/hyperlink" Target="https://transitionta.org/sites/default/files/news/Predictors_Mazzotti_2020_CDTEI.pdf" TargetMode="External"/><Relationship Id="rId4" Type="http://schemas.openxmlformats.org/officeDocument/2006/relationships/hyperlink" Target="https://www.aihw.gov.au/getmedia/419adf38-dc20-4e73-b17d-a2af1fd505a6/AW15-4-8-Vulnerable-young-people-aged-15-24.pdf.aspx" TargetMode="External"/><Relationship Id="rId9" Type="http://schemas.openxmlformats.org/officeDocument/2006/relationships/hyperlink" Target="https://tickettowork.org.au/media/download_resources/word/Ticket_to_Work_valuation_of_key_outcomes_2021_kZJsjS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FE320F6B4A6D64FAD9143B678AFE331" ma:contentTypeVersion="13" ma:contentTypeDescription="Create a new document." ma:contentTypeScope="" ma:versionID="519a4ae3490854b3eb1226b85ece8298">
  <xsd:schema xmlns:xsd="http://www.w3.org/2001/XMLSchema" xmlns:xs="http://www.w3.org/2001/XMLSchema" xmlns:p="http://schemas.microsoft.com/office/2006/metadata/properties" xmlns:ns2="e07a2b52-9579-494e-994b-e6ca24f8f1da" xmlns:ns3="94b54ed5-b092-46bc-8113-748025986aac" targetNamespace="http://schemas.microsoft.com/office/2006/metadata/properties" ma:root="true" ma:fieldsID="e16640593aee796ef25b3df35c51a320" ns2:_="" ns3:_="">
    <xsd:import namespace="e07a2b52-9579-494e-994b-e6ca24f8f1da"/>
    <xsd:import namespace="94b54ed5-b092-46bc-8113-748025986a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7a2b52-9579-494e-994b-e6ca24f8f1d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b54ed5-b092-46bc-8113-748025986aa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83DA8E-928E-4A57-BE22-B8275F9E81C7}">
  <ds:schemaRefs>
    <ds:schemaRef ds:uri="http://schemas.microsoft.com/sharepoint/v3/contenttype/forms"/>
  </ds:schemaRefs>
</ds:datastoreItem>
</file>

<file path=customXml/itemProps2.xml><?xml version="1.0" encoding="utf-8"?>
<ds:datastoreItem xmlns:ds="http://schemas.openxmlformats.org/officeDocument/2006/customXml" ds:itemID="{9853A940-8A3E-40A0-8A17-2C006017333D}">
  <ds:schemaRefs>
    <ds:schemaRef ds:uri="http://schemas.openxmlformats.org/officeDocument/2006/bibliography"/>
  </ds:schemaRefs>
</ds:datastoreItem>
</file>

<file path=customXml/itemProps3.xml><?xml version="1.0" encoding="utf-8"?>
<ds:datastoreItem xmlns:ds="http://schemas.openxmlformats.org/officeDocument/2006/customXml" ds:itemID="{09BF848E-0C64-4B67-92D5-CEC63CFF03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FAC4A88-C655-4B4B-83F3-62DBB93F0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7a2b52-9579-494e-994b-e6ca24f8f1da"/>
    <ds:schemaRef ds:uri="94b54ed5-b092-46bc-8113-748025986a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4901</Words>
  <Characters>27936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National Disability Services</Company>
  <LinksUpToDate>false</LinksUpToDate>
  <CharactersWithSpaces>32772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Wakeford</dc:creator>
  <cp:keywords/>
  <dc:description/>
  <cp:lastModifiedBy>Samantha Trent</cp:lastModifiedBy>
  <cp:revision>5</cp:revision>
  <cp:lastPrinted>2021-06-23T03:58:00Z</cp:lastPrinted>
  <dcterms:created xsi:type="dcterms:W3CDTF">2022-08-18T09:53:00Z</dcterms:created>
  <dcterms:modified xsi:type="dcterms:W3CDTF">2022-08-22T04:00:00Z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0x010100FFE320F6B4A6D64FAD9143B678AFE331</vt:lpwstr>
  </property>
</Properties>
</file>